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铅铋精矿</w:t>
      </w:r>
      <w:r>
        <w:rPr>
          <w:rFonts w:hint="eastAsia"/>
          <w:b/>
          <w:sz w:val="32"/>
          <w:szCs w:val="32"/>
          <w:lang w:eastAsia="zh-CN"/>
        </w:rPr>
        <w:t>竞价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铅铋精矿</w:t>
      </w:r>
      <w:r>
        <w:rPr>
          <w:rFonts w:hint="eastAsia"/>
          <w:sz w:val="24"/>
        </w:rPr>
        <w:t>，本次竞价销售量约</w:t>
      </w:r>
      <w:r>
        <w:rPr>
          <w:rFonts w:hint="eastAsia"/>
          <w:sz w:val="24"/>
          <w:lang w:val="en-US" w:eastAsia="zh-CN"/>
        </w:rPr>
        <w:t>22000</w:t>
      </w:r>
      <w:r>
        <w:rPr>
          <w:rFonts w:hint="eastAsia"/>
          <w:sz w:val="24"/>
        </w:rPr>
        <w:t>吨。产品有价金属范围：金</w:t>
      </w:r>
      <w:r>
        <w:rPr>
          <w:rFonts w:hint="eastAsia"/>
          <w:sz w:val="24"/>
          <w:lang w:val="en-US" w:eastAsia="zh-CN"/>
        </w:rPr>
        <w:t>20</w:t>
      </w:r>
      <w:bookmarkStart w:id="0" w:name="_GoBack"/>
      <w:bookmarkEnd w:id="0"/>
      <w:r>
        <w:rPr>
          <w:rFonts w:hint="eastAsia"/>
          <w:sz w:val="24"/>
        </w:rPr>
        <w:t>克/吨左右，银300克/吨左右，铅吨品位45%——55%，铋吨品位2%——6%。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17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：竞价单位必须手续齐全，营业执照及危废经营许可证（危险废物类别需包含321-0</w:t>
      </w:r>
      <w:r>
        <w:rPr>
          <w:rFonts w:hint="eastAsia"/>
          <w:sz w:val="24"/>
          <w:lang w:val="en-US" w:eastAsia="zh-CN"/>
        </w:rPr>
        <w:t>31</w:t>
      </w:r>
      <w:r>
        <w:rPr>
          <w:rFonts w:hint="eastAsia"/>
          <w:sz w:val="24"/>
        </w:rPr>
        <w:t>-48项）等资质证件必须在有效期限内。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（吨袋装)；具体提货及计价数量以卖方质量管理部检斤单数量为准，包装袋以现场实际称重扣减。买方须根据卖方的实际生产情况，按卖方通知时间均衡提货。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一、产品销售竞价单</w:t>
      </w:r>
      <w:r>
        <w:rPr>
          <w:rFonts w:hint="eastAsia"/>
          <w:sz w:val="24"/>
        </w:rPr>
        <w:t>：</w:t>
      </w:r>
    </w:p>
    <w:tbl>
      <w:tblPr>
        <w:tblStyle w:val="7"/>
        <w:tblW w:w="8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715"/>
        <w:gridCol w:w="2152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有价元素基准品位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报价及计价系数</w:t>
            </w:r>
          </w:p>
        </w:tc>
        <w:tc>
          <w:tcPr>
            <w:tcW w:w="215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评标设定品位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g/t＜Au≤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 xml:space="preserve"> g/t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100g /t＜Ag≤300g 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</w:t>
            </w:r>
            <w:r>
              <w:rPr>
                <w:rFonts w:hint="eastAsia" w:ascii="宋体" w:hAnsi="宋体"/>
                <w:sz w:val="24"/>
              </w:rPr>
              <w:t xml:space="preserve"> g 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铅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49%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＜Pb≤50%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9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铋</w:t>
            </w:r>
          </w:p>
        </w:tc>
        <w:tc>
          <w:tcPr>
            <w:tcW w:w="27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2%</w:t>
            </w:r>
            <w:r>
              <w:rPr>
                <w:rFonts w:hint="eastAsia" w:ascii="宋体" w:hAnsi="宋体"/>
                <w:sz w:val="24"/>
              </w:rPr>
              <w:t>/t</w:t>
            </w:r>
            <w:r>
              <w:rPr>
                <w:rFonts w:hint="eastAsia"/>
                <w:sz w:val="24"/>
              </w:rPr>
              <w:t>＜Bi≤4%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  <w:tc>
          <w:tcPr>
            <w:tcW w:w="215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4%</w:t>
            </w:r>
            <w:r>
              <w:rPr>
                <w:rFonts w:hint="eastAsia" w:ascii="宋体" w:hAnsi="宋体"/>
                <w:sz w:val="24"/>
              </w:rPr>
              <w:t>/t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二、计价说明</w:t>
      </w:r>
      <w:r>
        <w:rPr>
          <w:rFonts w:hint="eastAsia"/>
          <w:sz w:val="24"/>
        </w:rPr>
        <w:t>：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Au：以</w:t>
      </w: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g/t＜Au≤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 xml:space="preserve"> g/t</w:t>
      </w:r>
      <w:r>
        <w:rPr>
          <w:rFonts w:hint="eastAsia"/>
          <w:sz w:val="24"/>
        </w:rPr>
        <w:t>为基准进行报价。金按基准品位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±5g /t进行计价，金品位每上升或下降5g/t时计价系数相应上升或下降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个百分点；当金的品位下降至1g/t（不含1g/t）以下时不计价。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金价按上海黄金交易所2#金(均价带票价)计价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Ag：以100g /t＜Ag≤300g /t为基准进行报价。银按基准品位300±200g /t进行计价，银品位上升或下降200g/t计价系数相应上升或下降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个百分点；当银品位低于100g/t时不计价。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银价按上海华通网2#银(均价带增值税专用发票价)计价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Pb：按49%/t＜Pb≤50%/t为基准进行报价。铅按基准品位50%/t±1%/t进行计价，品位每上升或降低1%/t，计价系数相应增加或减少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%。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铅价按上海有色金属网SMM1#铅锭(均价带增值税专用发票价)计价。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Bi：按2%/t＜Bi≤4%/t为基准进行报价。铋按基准品位4%/t±2%/t进行计价，品位每上升或降低2%/t，计价系数相应增加或减少</w:t>
      </w:r>
      <w:r>
        <w:rPr>
          <w:rFonts w:hint="eastAsia"/>
          <w:sz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</w:rPr>
        <w:t>%；当铋品位低于2%/t时不计价。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铋价按上海有色金属网精铋（均价带增值税专用发票价)计价。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三、竞价评标办法</w:t>
      </w:r>
    </w:p>
    <w:p>
      <w:pPr>
        <w:numPr>
          <w:ilvl w:val="0"/>
          <w:numId w:val="0"/>
        </w:numPr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评标委员会根据竞价报价单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default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日计价金属当日市场价格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换算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值，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依照市值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高低排序确定采购方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，并按最高市值报价系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进行分量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合同计价系数按最高总市值报价单位报价系数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签订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</w:rPr>
        <w:t>中标须知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中标方竞价保证金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  <w:lang w:val="en-US" w:eastAsia="zh-CN"/>
        </w:rPr>
        <w:t>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3.2中标方中标后不履行付款提货义务，卖方将视中标方弃标，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17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  <w:lang w:val="en-US" w:eastAsia="zh-CN"/>
        </w:rPr>
        <w:t>20</w:t>
      </w:r>
      <w:r>
        <w:rPr>
          <w:rFonts w:hint="eastAsia"/>
          <w:b/>
          <w:bCs/>
          <w:sz w:val="24"/>
        </w:rPr>
        <w:t>0万元（大写：人民币</w:t>
      </w:r>
      <w:r>
        <w:rPr>
          <w:rFonts w:hint="eastAsia"/>
          <w:b/>
          <w:bCs/>
          <w:sz w:val="24"/>
          <w:lang w:eastAsia="zh-CN"/>
        </w:rPr>
        <w:t>贰佰</w:t>
      </w:r>
      <w:r>
        <w:rPr>
          <w:rFonts w:hint="eastAsia"/>
          <w:b/>
          <w:bCs/>
          <w:sz w:val="24"/>
        </w:rPr>
        <w:t>万元整），竞价人中标后，其竞价销售保证金转化为履约保证金。竞价人未中标，竞价保证金于5个工作日内退还。竞价销售保证金需在202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default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17</w:t>
      </w:r>
      <w:r>
        <w:rPr>
          <w:rFonts w:hint="eastAsia"/>
          <w:b/>
          <w:bCs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危险固废经营许可证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rFonts w:hint="eastAsia" w:ascii="仿宋" w:hAnsi="仿宋" w:eastAsia="仿宋" w:cs="仿宋"/>
          <w:b/>
          <w:bCs/>
          <w:i w:val="0"/>
          <w:caps w:val="0"/>
          <w:color w:val="171A1D"/>
          <w:spacing w:val="0"/>
          <w:sz w:val="24"/>
          <w:szCs w:val="24"/>
          <w:u w:val="none"/>
          <w:shd w:val="clear" w:fill="FFFFFF"/>
        </w:rPr>
        <w:t>zyylcjwbgs@163.com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17</w:t>
      </w:r>
      <w:r>
        <w:rPr>
          <w:rFonts w:hint="eastAsia"/>
          <w:sz w:val="24"/>
        </w:rPr>
        <w:t>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铅铋精矿</w:t>
      </w:r>
      <w:r>
        <w:rPr>
          <w:rFonts w:hint="eastAsia"/>
          <w:sz w:val="24"/>
        </w:rPr>
        <w:t>竞价</w:t>
      </w:r>
      <w:r>
        <w:rPr>
          <w:rFonts w:hint="eastAsia"/>
          <w:sz w:val="24"/>
          <w:lang w:val="en-US" w:eastAsia="zh-CN"/>
        </w:rPr>
        <w:t>销售报价公告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A4573D"/>
    <w:rsid w:val="1FD21E37"/>
    <w:rsid w:val="219050DE"/>
    <w:rsid w:val="22B459AD"/>
    <w:rsid w:val="23322870"/>
    <w:rsid w:val="23DE0953"/>
    <w:rsid w:val="24AC2599"/>
    <w:rsid w:val="257F479A"/>
    <w:rsid w:val="27B351F6"/>
    <w:rsid w:val="2A525B0D"/>
    <w:rsid w:val="2B4422A9"/>
    <w:rsid w:val="2CE91CC3"/>
    <w:rsid w:val="2D2372F8"/>
    <w:rsid w:val="2F7E2CEA"/>
    <w:rsid w:val="34D549CD"/>
    <w:rsid w:val="35567A33"/>
    <w:rsid w:val="356D2E7F"/>
    <w:rsid w:val="358454CA"/>
    <w:rsid w:val="36685858"/>
    <w:rsid w:val="36D35A23"/>
    <w:rsid w:val="37A120B4"/>
    <w:rsid w:val="39B44F12"/>
    <w:rsid w:val="3E4A7800"/>
    <w:rsid w:val="40876D47"/>
    <w:rsid w:val="4365096C"/>
    <w:rsid w:val="46DE2CA8"/>
    <w:rsid w:val="475E5A3F"/>
    <w:rsid w:val="4C4D0E2F"/>
    <w:rsid w:val="4C825047"/>
    <w:rsid w:val="4D635EC6"/>
    <w:rsid w:val="4E496200"/>
    <w:rsid w:val="4F646854"/>
    <w:rsid w:val="4FD63935"/>
    <w:rsid w:val="52F84933"/>
    <w:rsid w:val="55AE0C2A"/>
    <w:rsid w:val="56111C07"/>
    <w:rsid w:val="56E00DB5"/>
    <w:rsid w:val="58690753"/>
    <w:rsid w:val="59996283"/>
    <w:rsid w:val="59D71F73"/>
    <w:rsid w:val="5B046D11"/>
    <w:rsid w:val="5B2D2D03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10</TotalTime>
  <ScaleCrop>false</ScaleCrop>
  <LinksUpToDate>false</LinksUpToDate>
  <CharactersWithSpaces>1677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奕希</cp:lastModifiedBy>
  <cp:lastPrinted>2020-01-11T00:36:00Z</cp:lastPrinted>
  <dcterms:modified xsi:type="dcterms:W3CDTF">2021-11-10T02:55:56Z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432634AA1C9449F1AC2EF0C54C2BE0F8</vt:lpwstr>
  </property>
</Properties>
</file>