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247DB5">
      <w:pPr>
        <w:pStyle w:val="3"/>
        <w:jc w:val="center"/>
      </w:pPr>
      <w:bookmarkStart w:id="0" w:name="_Toc5878"/>
      <w:r>
        <w:rPr>
          <w:rFonts w:hint="eastAsia" w:hAnsi="宋体"/>
        </w:rPr>
        <w:t>第四章</w:t>
      </w:r>
      <w:r>
        <w:t xml:space="preserve"> </w:t>
      </w:r>
      <w:r>
        <w:rPr>
          <w:rFonts w:hint="eastAsia" w:hAnsi="宋体"/>
        </w:rPr>
        <w:t>附</w:t>
      </w:r>
      <w:r>
        <w:t xml:space="preserve"> </w:t>
      </w:r>
      <w:r>
        <w:rPr>
          <w:rFonts w:hint="eastAsia"/>
        </w:rPr>
        <w:t xml:space="preserve"> </w:t>
      </w:r>
      <w:r>
        <w:rPr>
          <w:rFonts w:hint="eastAsia" w:hAnsi="宋体"/>
        </w:rPr>
        <w:t>件</w:t>
      </w:r>
      <w:bookmarkEnd w:id="0"/>
    </w:p>
    <w:p w14:paraId="567376E9">
      <w:pPr>
        <w:pStyle w:val="9"/>
        <w:jc w:val="both"/>
        <w:rPr>
          <w:rFonts w:ascii="Times New Roman" w:hAnsi="Times New Roman"/>
        </w:rPr>
      </w:pPr>
      <w:bookmarkStart w:id="1" w:name="_Toc6525"/>
      <w:bookmarkStart w:id="2" w:name="_Toc409429598"/>
      <w:r>
        <w:rPr>
          <w:rFonts w:ascii="Times New Roman" w:hAnsi="宋体"/>
        </w:rPr>
        <w:t>附件一</w:t>
      </w:r>
      <w:bookmarkEnd w:id="1"/>
      <w:bookmarkEnd w:id="2"/>
    </w:p>
    <w:p w14:paraId="09E75102">
      <w:pPr>
        <w:pStyle w:val="13"/>
        <w:jc w:val="center"/>
        <w:rPr>
          <w:rFonts w:cs="Arial"/>
          <w:b/>
          <w:spacing w:val="8"/>
          <w:szCs w:val="28"/>
          <w:u w:val="single"/>
        </w:rPr>
      </w:pPr>
      <w:bookmarkStart w:id="3" w:name="_Toc1377"/>
      <w:r>
        <w:rPr>
          <w:rFonts w:hint="eastAsia"/>
        </w:rPr>
        <w:t>投  标  函（格式）</w:t>
      </w:r>
      <w:bookmarkEnd w:id="3"/>
    </w:p>
    <w:p w14:paraId="5C9999EA">
      <w:pPr>
        <w:spacing w:line="520" w:lineRule="exact"/>
        <w:rPr>
          <w:bCs/>
          <w:sz w:val="24"/>
          <w:u w:val="single"/>
          <w:shd w:val="pct10" w:color="auto" w:fill="FFFFFF"/>
        </w:rPr>
      </w:pPr>
      <w:r>
        <w:rPr>
          <w:rFonts w:hint="eastAsia" w:hAnsi="宋体"/>
          <w:bCs/>
          <w:sz w:val="24"/>
          <w:u w:val="single"/>
        </w:rPr>
        <w:t>河南中原黄金冶炼厂有限责任公司：</w:t>
      </w:r>
    </w:p>
    <w:p w14:paraId="1340C1EC">
      <w:pPr>
        <w:spacing w:line="520" w:lineRule="exact"/>
        <w:ind w:firstLine="480" w:firstLineChars="200"/>
        <w:rPr>
          <w:rFonts w:cs="Arial"/>
          <w:bCs/>
          <w:sz w:val="24"/>
        </w:rPr>
      </w:pPr>
      <w:r>
        <w:rPr>
          <w:rFonts w:hint="eastAsia"/>
          <w:sz w:val="24"/>
          <w:szCs w:val="24"/>
        </w:rPr>
        <w:t>我们收到2024年零星土建维修的招标文件，编号为</w:t>
      </w:r>
      <w:r>
        <w:rPr>
          <w:rFonts w:hint="eastAsia" w:cs="Arial"/>
          <w:bCs/>
          <w:sz w:val="24"/>
          <w:u w:val="single"/>
        </w:rPr>
        <w:t>ZYYL-ZB2024110</w:t>
      </w:r>
      <w:r>
        <w:rPr>
          <w:rFonts w:hint="eastAsia" w:hAnsi="宋体" w:cs="Arial"/>
          <w:bCs/>
          <w:sz w:val="24"/>
        </w:rPr>
        <w:t>，经详细审查全部内容，包括第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14:paraId="19398E19">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14:paraId="446F73E9">
      <w:pPr>
        <w:spacing w:line="520" w:lineRule="exact"/>
        <w:ind w:firstLine="540" w:firstLineChars="225"/>
        <w:rPr>
          <w:rFonts w:cs="Arial"/>
          <w:bCs/>
          <w:sz w:val="24"/>
        </w:rPr>
      </w:pPr>
      <w:r>
        <w:rPr>
          <w:rFonts w:cs="Arial"/>
          <w:bCs/>
          <w:sz w:val="24"/>
        </w:rPr>
        <w:t>1</w:t>
      </w:r>
      <w:r>
        <w:rPr>
          <w:rFonts w:hint="eastAsia" w:hAnsi="宋体" w:cs="Arial"/>
          <w:bCs/>
          <w:sz w:val="24"/>
        </w:rPr>
        <w:t>、开标一览表正本一份</w:t>
      </w:r>
    </w:p>
    <w:p w14:paraId="6015E41B">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、投标文件文字版正本一份及副本四份，投标文件电子版一份</w:t>
      </w:r>
    </w:p>
    <w:p w14:paraId="5D41E0E2">
      <w:pPr>
        <w:spacing w:line="520" w:lineRule="exact"/>
        <w:ind w:firstLine="540" w:firstLineChars="225"/>
        <w:rPr>
          <w:rFonts w:cs="Arial"/>
          <w:bCs/>
          <w:sz w:val="24"/>
        </w:rPr>
      </w:pPr>
      <w:r>
        <w:rPr>
          <w:rFonts w:cs="Arial"/>
          <w:bCs/>
          <w:sz w:val="24"/>
        </w:rPr>
        <w:t>3</w:t>
      </w:r>
      <w:r>
        <w:rPr>
          <w:rFonts w:hint="eastAsia" w:hAnsi="宋体" w:cs="Arial"/>
          <w:bCs/>
          <w:sz w:val="24"/>
        </w:rPr>
        <w:t>、投标保证金</w:t>
      </w:r>
    </w:p>
    <w:p w14:paraId="09880E3E">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14:paraId="65578AFF">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愿意按照招标文件中的一切要求施工，投标总价格为</w:t>
      </w:r>
      <w:r>
        <w:rPr>
          <w:rFonts w:hint="eastAsia" w:hAnsi="宋体" w:cs="Arial"/>
          <w:bCs/>
          <w:iCs/>
          <w:sz w:val="24"/>
          <w:u w:val="single"/>
        </w:rPr>
        <w:t>（下浮百分率）</w:t>
      </w:r>
      <w:r>
        <w:rPr>
          <w:rFonts w:hint="eastAsia" w:hAnsi="宋体" w:cs="Arial"/>
          <w:bCs/>
          <w:sz w:val="24"/>
        </w:rPr>
        <w:t>，施工有限期：</w:t>
      </w:r>
      <w:r>
        <w:rPr>
          <w:rFonts w:cs="Arial"/>
          <w:bCs/>
          <w:sz w:val="24"/>
          <w:u w:val="single"/>
        </w:rPr>
        <w:t xml:space="preserve">  </w:t>
      </w:r>
      <w:r>
        <w:rPr>
          <w:rFonts w:hint="eastAsia" w:cs="Arial"/>
          <w:bCs/>
          <w:sz w:val="24"/>
          <w:u w:val="single"/>
        </w:rPr>
        <w:t>1年</w:t>
      </w:r>
      <w:r>
        <w:rPr>
          <w:rFonts w:cs="Arial"/>
          <w:bCs/>
          <w:sz w:val="24"/>
          <w:u w:val="single"/>
        </w:rPr>
        <w:t xml:space="preserve"> </w:t>
      </w:r>
      <w:r>
        <w:rPr>
          <w:rFonts w:hint="eastAsia" w:cs="Arial"/>
          <w:bCs/>
          <w:sz w:val="24"/>
          <w:u w:val="single"/>
        </w:rPr>
        <w:t xml:space="preserve">  </w:t>
      </w:r>
      <w:r>
        <w:rPr>
          <w:rFonts w:hint="eastAsia" w:hAnsi="宋体" w:cs="Arial"/>
          <w:bCs/>
          <w:sz w:val="24"/>
        </w:rPr>
        <w:t>。具体报价明细见投标报价表。</w:t>
      </w:r>
    </w:p>
    <w:p w14:paraId="2E0B3D71">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14:paraId="6E32AF87">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14:paraId="4FB5C455">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14:paraId="45240ED4">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14:paraId="68F4D13F">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14:paraId="412659E9">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14:paraId="5DBE4798">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14:paraId="25C9BBA1">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）如果我们中标，我们将按照有关通知的规定签订施工合同。</w:t>
      </w:r>
    </w:p>
    <w:p w14:paraId="25E84956">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14:paraId="35E92947">
      <w:pPr>
        <w:spacing w:line="520" w:lineRule="exact"/>
        <w:rPr>
          <w:rFonts w:cs="Arial"/>
          <w:bCs/>
          <w:spacing w:val="8"/>
          <w:sz w:val="24"/>
        </w:rPr>
      </w:pPr>
    </w:p>
    <w:p w14:paraId="39C5360A">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14:paraId="4B6F4A10">
      <w:pPr>
        <w:spacing w:line="520" w:lineRule="exact"/>
        <w:ind w:firstLine="720"/>
        <w:rPr>
          <w:rFonts w:cs="Arial"/>
          <w:bCs/>
          <w:spacing w:val="8"/>
          <w:sz w:val="24"/>
        </w:rPr>
      </w:pPr>
      <w:r>
        <w:rPr>
          <w:rFonts w:hint="eastAsia" w:hAnsi="宋体" w:cs="Arial"/>
          <w:bCs/>
          <w:spacing w:val="8"/>
          <w:sz w:val="24"/>
        </w:rPr>
        <w:t>邮政编码：</w:t>
      </w:r>
    </w:p>
    <w:p w14:paraId="009ED073">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14:paraId="01E757B2">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14:paraId="0B990B8C">
      <w:pPr>
        <w:spacing w:line="520" w:lineRule="exact"/>
        <w:ind w:firstLine="720"/>
        <w:rPr>
          <w:rFonts w:cs="Arial"/>
          <w:bCs/>
          <w:spacing w:val="8"/>
          <w:sz w:val="24"/>
        </w:rPr>
      </w:pPr>
      <w:r>
        <w:rPr>
          <w:rFonts w:hint="eastAsia" w:hAnsi="宋体" w:cs="Arial"/>
          <w:bCs/>
          <w:spacing w:val="8"/>
          <w:sz w:val="24"/>
        </w:rPr>
        <w:t>电子函箱：</w:t>
      </w:r>
    </w:p>
    <w:p w14:paraId="4CD83817">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14:paraId="45BBC3DD">
      <w:pPr>
        <w:spacing w:line="520" w:lineRule="exact"/>
        <w:ind w:firstLine="720"/>
        <w:rPr>
          <w:rFonts w:cs="Arial"/>
          <w:bCs/>
          <w:spacing w:val="8"/>
          <w:sz w:val="24"/>
        </w:rPr>
      </w:pPr>
    </w:p>
    <w:p w14:paraId="553B76A2">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14:paraId="39C08124">
      <w:pPr>
        <w:spacing w:line="520" w:lineRule="exact"/>
        <w:ind w:firstLine="3960"/>
        <w:rPr>
          <w:rFonts w:cs="Arial"/>
          <w:bCs/>
          <w:spacing w:val="8"/>
          <w:sz w:val="24"/>
        </w:rPr>
      </w:pPr>
    </w:p>
    <w:p w14:paraId="53F56F6D">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14:paraId="1A198EC5">
      <w:pPr>
        <w:spacing w:line="520" w:lineRule="exact"/>
        <w:ind w:firstLine="3960"/>
        <w:rPr>
          <w:rFonts w:cs="Arial"/>
          <w:bCs/>
          <w:spacing w:val="8"/>
          <w:sz w:val="24"/>
        </w:rPr>
      </w:pPr>
    </w:p>
    <w:p w14:paraId="1DA8D146">
      <w:pPr>
        <w:spacing w:line="520" w:lineRule="exact"/>
        <w:ind w:firstLine="3960"/>
        <w:rPr>
          <w:rFonts w:cs="Arial"/>
          <w:bCs/>
          <w:spacing w:val="8"/>
          <w:sz w:val="24"/>
        </w:rPr>
      </w:pPr>
    </w:p>
    <w:p w14:paraId="1BA47247">
      <w:pPr>
        <w:pStyle w:val="5"/>
        <w:tabs>
          <w:tab w:val="right" w:pos="4200"/>
          <w:tab w:val="clear" w:pos="0"/>
          <w:tab w:val="clear" w:pos="993"/>
          <w:tab w:val="clear" w:pos="1134"/>
        </w:tabs>
        <w:spacing w:line="520" w:lineRule="exact"/>
        <w:ind w:firstLine="2644" w:firstLineChars="1033"/>
        <w:jc w:val="center"/>
        <w:rPr>
          <w:rFonts w:cs="Arial"/>
          <w:bCs/>
          <w:spacing w:val="8"/>
          <w:sz w:val="24"/>
        </w:r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14:paraId="187E401A">
      <w:pPr>
        <w:widowControl/>
        <w:jc w:val="left"/>
        <w:rPr>
          <w:bCs/>
          <w:spacing w:val="8"/>
          <w:kern w:val="0"/>
          <w:sz w:val="28"/>
        </w:rPr>
        <w:sectPr>
          <w:footerReference r:id="rId3" w:type="default"/>
          <w:pgSz w:w="11906" w:h="16838"/>
          <w:pgMar w:top="1440" w:right="1486" w:bottom="1440" w:left="1800" w:header="851" w:footer="992" w:gutter="0"/>
          <w:cols w:space="720" w:num="1"/>
          <w:docGrid w:type="lines" w:linePitch="312" w:charSpace="0"/>
        </w:sectPr>
      </w:pPr>
    </w:p>
    <w:p w14:paraId="0B80D2F8">
      <w:pPr>
        <w:pStyle w:val="9"/>
        <w:jc w:val="both"/>
        <w:rPr>
          <w:rFonts w:hint="eastAsia" w:ascii="Times New Roman" w:hAnsi="宋体"/>
          <w:b/>
          <w:bCs w:val="0"/>
        </w:rPr>
      </w:pPr>
      <w:bookmarkStart w:id="4" w:name="_Toc22969"/>
      <w:r>
        <w:rPr>
          <w:rFonts w:hint="eastAsia" w:ascii="Times New Roman" w:hAnsi="宋体"/>
          <w:b/>
          <w:bCs w:val="0"/>
        </w:rPr>
        <w:t>附件二</w:t>
      </w:r>
      <w:bookmarkEnd w:id="4"/>
    </w:p>
    <w:p w14:paraId="6880C085">
      <w:pPr>
        <w:pStyle w:val="13"/>
        <w:jc w:val="center"/>
        <w:rPr>
          <w:rFonts w:ascii="Times New Roman" w:hAnsi="Times New Roman" w:cs="宋体"/>
          <w:b/>
          <w:kern w:val="0"/>
          <w:szCs w:val="36"/>
        </w:rPr>
      </w:pPr>
      <w:bookmarkStart w:id="5" w:name="_Toc32089"/>
      <w:r>
        <w:rPr>
          <w:rFonts w:hint="eastAsia"/>
          <w:sz w:val="36"/>
          <w:szCs w:val="36"/>
          <w:lang w:val="en-US"/>
        </w:rPr>
        <w:t>2024年零星土建维修</w:t>
      </w:r>
      <w:r>
        <w:rPr>
          <w:rFonts w:hint="eastAsia"/>
          <w:sz w:val="36"/>
          <w:szCs w:val="36"/>
        </w:rPr>
        <w:t>开标一览表</w:t>
      </w:r>
      <w:bookmarkEnd w:id="5"/>
    </w:p>
    <w:p w14:paraId="20E39353">
      <w:pPr>
        <w:spacing w:line="400" w:lineRule="exact"/>
        <w:jc w:val="center"/>
        <w:rPr>
          <w:rFonts w:hint="eastAsia" w:hAnsi="宋体"/>
          <w:sz w:val="28"/>
          <w:szCs w:val="28"/>
        </w:rPr>
      </w:pPr>
      <w:r>
        <w:rPr>
          <w:rFonts w:hint="eastAsia" w:hAnsi="宋体"/>
          <w:sz w:val="28"/>
          <w:szCs w:val="28"/>
        </w:rPr>
        <w:t xml:space="preserve">招标编号：ZYYL-ZB2024110                                      </w:t>
      </w:r>
      <w:r>
        <w:rPr>
          <w:rFonts w:hAnsi="宋体"/>
          <w:sz w:val="28"/>
          <w:szCs w:val="28"/>
        </w:rPr>
        <w:t xml:space="preserve">    </w:t>
      </w:r>
    </w:p>
    <w:p w14:paraId="770ADFD1">
      <w:pPr>
        <w:spacing w:line="400" w:lineRule="exact"/>
        <w:jc w:val="center"/>
        <w:rPr>
          <w:rFonts w:hint="eastAsia" w:hAnsi="宋体"/>
          <w:sz w:val="28"/>
          <w:szCs w:val="28"/>
        </w:rPr>
      </w:pP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8"/>
        <w:gridCol w:w="1992"/>
        <w:gridCol w:w="1029"/>
        <w:gridCol w:w="2658"/>
        <w:gridCol w:w="2772"/>
        <w:gridCol w:w="3255"/>
      </w:tblGrid>
      <w:tr w14:paraId="2BE077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14:paraId="4E53FF27">
            <w:pPr>
              <w:spacing w:line="400" w:lineRule="exact"/>
              <w:jc w:val="center"/>
              <w:rPr>
                <w:b/>
                <w:bCs/>
                <w:spacing w:val="8"/>
                <w:sz w:val="28"/>
                <w:szCs w:val="28"/>
              </w:rPr>
            </w:pPr>
            <w:r>
              <w:rPr>
                <w:rFonts w:hint="eastAsia" w:hAnsi="宋体"/>
                <w:b/>
                <w:bCs/>
                <w:spacing w:val="8"/>
                <w:sz w:val="28"/>
                <w:szCs w:val="28"/>
              </w:rPr>
              <w:t>序号</w:t>
            </w:r>
          </w:p>
        </w:tc>
        <w:tc>
          <w:tcPr>
            <w:tcW w:w="3021" w:type="dxa"/>
            <w:gridSpan w:val="2"/>
            <w:tcBorders>
              <w:top w:val="single" w:color="auto" w:sz="4" w:space="0"/>
              <w:left w:val="single" w:color="auto" w:sz="4" w:space="0"/>
              <w:bottom w:val="single" w:color="auto" w:sz="4" w:space="0"/>
              <w:right w:val="single" w:color="auto" w:sz="4" w:space="0"/>
            </w:tcBorders>
            <w:noWrap w:val="0"/>
            <w:vAlign w:val="center"/>
          </w:tcPr>
          <w:p w14:paraId="0554A5A1">
            <w:pPr>
              <w:spacing w:line="400" w:lineRule="exact"/>
              <w:jc w:val="center"/>
              <w:rPr>
                <w:b/>
                <w:bCs/>
                <w:spacing w:val="8"/>
                <w:sz w:val="28"/>
                <w:szCs w:val="28"/>
              </w:rPr>
            </w:pPr>
            <w:r>
              <w:rPr>
                <w:rFonts w:hint="eastAsia" w:hAnsi="宋体"/>
                <w:b/>
                <w:bCs/>
                <w:spacing w:val="8"/>
                <w:sz w:val="28"/>
                <w:szCs w:val="28"/>
              </w:rPr>
              <w:t>单位名称</w:t>
            </w:r>
          </w:p>
        </w:tc>
        <w:tc>
          <w:tcPr>
            <w:tcW w:w="2658" w:type="dxa"/>
            <w:tcBorders>
              <w:top w:val="single" w:color="auto" w:sz="4" w:space="0"/>
              <w:left w:val="single" w:color="auto" w:sz="4" w:space="0"/>
              <w:bottom w:val="single" w:color="auto" w:sz="4" w:space="0"/>
              <w:right w:val="single" w:color="auto" w:sz="4" w:space="0"/>
            </w:tcBorders>
            <w:noWrap w:val="0"/>
            <w:vAlign w:val="center"/>
          </w:tcPr>
          <w:p w14:paraId="4D3DD93C">
            <w:pPr>
              <w:spacing w:line="400" w:lineRule="exact"/>
              <w:jc w:val="center"/>
              <w:rPr>
                <w:b/>
                <w:bCs/>
                <w:spacing w:val="8"/>
                <w:sz w:val="28"/>
                <w:szCs w:val="28"/>
              </w:rPr>
            </w:pPr>
            <w:r>
              <w:rPr>
                <w:rFonts w:hint="eastAsia"/>
                <w:b/>
                <w:spacing w:val="8"/>
                <w:sz w:val="28"/>
                <w:szCs w:val="28"/>
              </w:rPr>
              <w:t>结算价下浮百分率</w:t>
            </w:r>
          </w:p>
        </w:tc>
        <w:tc>
          <w:tcPr>
            <w:tcW w:w="2772" w:type="dxa"/>
            <w:tcBorders>
              <w:top w:val="single" w:color="auto" w:sz="4" w:space="0"/>
              <w:left w:val="single" w:color="auto" w:sz="4" w:space="0"/>
              <w:bottom w:val="single" w:color="auto" w:sz="4" w:space="0"/>
              <w:right w:val="single" w:color="auto" w:sz="8" w:space="0"/>
            </w:tcBorders>
            <w:noWrap w:val="0"/>
            <w:vAlign w:val="center"/>
          </w:tcPr>
          <w:p w14:paraId="32264A52">
            <w:pPr>
              <w:spacing w:line="400" w:lineRule="exact"/>
              <w:jc w:val="center"/>
              <w:rPr>
                <w:rFonts w:hint="eastAsia"/>
                <w:b/>
                <w:bCs/>
                <w:spacing w:val="8"/>
                <w:sz w:val="28"/>
                <w:szCs w:val="28"/>
              </w:rPr>
            </w:pPr>
            <w:r>
              <w:rPr>
                <w:rFonts w:hint="eastAsia"/>
                <w:b/>
                <w:bCs/>
                <w:spacing w:val="8"/>
                <w:sz w:val="28"/>
                <w:szCs w:val="28"/>
              </w:rPr>
              <w:t>保修期</w:t>
            </w:r>
          </w:p>
        </w:tc>
        <w:tc>
          <w:tcPr>
            <w:tcW w:w="3255" w:type="dxa"/>
            <w:tcBorders>
              <w:top w:val="single" w:color="auto" w:sz="4" w:space="0"/>
              <w:left w:val="single" w:color="auto" w:sz="8" w:space="0"/>
              <w:bottom w:val="single" w:color="auto" w:sz="4" w:space="0"/>
              <w:right w:val="single" w:color="auto" w:sz="4" w:space="0"/>
            </w:tcBorders>
            <w:noWrap w:val="0"/>
            <w:vAlign w:val="center"/>
          </w:tcPr>
          <w:p w14:paraId="552CFFBB">
            <w:pPr>
              <w:spacing w:line="400" w:lineRule="exact"/>
              <w:jc w:val="center"/>
              <w:rPr>
                <w:rFonts w:hint="eastAsia"/>
                <w:b/>
                <w:bCs/>
                <w:spacing w:val="8"/>
                <w:sz w:val="28"/>
                <w:szCs w:val="28"/>
              </w:rPr>
            </w:pPr>
            <w:r>
              <w:rPr>
                <w:rFonts w:hint="eastAsia" w:hAnsi="宋体"/>
                <w:b/>
                <w:bCs/>
                <w:spacing w:val="8"/>
                <w:sz w:val="28"/>
                <w:szCs w:val="28"/>
              </w:rPr>
              <w:t>付款方式</w:t>
            </w:r>
          </w:p>
        </w:tc>
      </w:tr>
      <w:tr w14:paraId="6C1536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14:paraId="394626B6">
            <w:pPr>
              <w:spacing w:line="400" w:lineRule="exact"/>
              <w:jc w:val="center"/>
              <w:rPr>
                <w:rFonts w:hint="eastAsia"/>
                <w:bCs/>
                <w:spacing w:val="8"/>
                <w:sz w:val="24"/>
              </w:rPr>
            </w:pPr>
          </w:p>
        </w:tc>
        <w:tc>
          <w:tcPr>
            <w:tcW w:w="3021" w:type="dxa"/>
            <w:gridSpan w:val="2"/>
            <w:tcBorders>
              <w:top w:val="single" w:color="auto" w:sz="4" w:space="0"/>
              <w:left w:val="single" w:color="auto" w:sz="4" w:space="0"/>
              <w:bottom w:val="single" w:color="auto" w:sz="4" w:space="0"/>
              <w:right w:val="single" w:color="auto" w:sz="4" w:space="0"/>
            </w:tcBorders>
            <w:noWrap w:val="0"/>
            <w:vAlign w:val="center"/>
          </w:tcPr>
          <w:p w14:paraId="2EE3187D">
            <w:pPr>
              <w:spacing w:line="400" w:lineRule="exact"/>
              <w:jc w:val="center"/>
              <w:rPr>
                <w:bCs/>
                <w:spacing w:val="8"/>
                <w:sz w:val="24"/>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14:paraId="51CAB242">
            <w:pPr>
              <w:spacing w:line="400" w:lineRule="exact"/>
              <w:jc w:val="center"/>
              <w:rPr>
                <w:bCs/>
                <w:spacing w:val="8"/>
                <w:sz w:val="24"/>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14:paraId="3DAE3BF1">
            <w:pPr>
              <w:spacing w:line="400" w:lineRule="exact"/>
              <w:jc w:val="center"/>
              <w:rPr>
                <w:bCs/>
                <w:spacing w:val="8"/>
                <w:sz w:val="24"/>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14:paraId="7FE08164">
            <w:pPr>
              <w:spacing w:line="400" w:lineRule="exact"/>
              <w:jc w:val="center"/>
              <w:rPr>
                <w:bCs/>
                <w:spacing w:val="8"/>
                <w:sz w:val="24"/>
              </w:rPr>
            </w:pPr>
          </w:p>
        </w:tc>
      </w:tr>
      <w:tr w14:paraId="633613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14:paraId="5A89306D">
            <w:pPr>
              <w:spacing w:line="400" w:lineRule="exact"/>
              <w:jc w:val="center"/>
              <w:rPr>
                <w:rFonts w:hint="eastAsia"/>
                <w:bCs/>
                <w:spacing w:val="8"/>
                <w:sz w:val="24"/>
              </w:rPr>
            </w:pPr>
          </w:p>
        </w:tc>
        <w:tc>
          <w:tcPr>
            <w:tcW w:w="3021" w:type="dxa"/>
            <w:gridSpan w:val="2"/>
            <w:tcBorders>
              <w:top w:val="single" w:color="auto" w:sz="4" w:space="0"/>
              <w:left w:val="single" w:color="auto" w:sz="4" w:space="0"/>
              <w:bottom w:val="single" w:color="auto" w:sz="4" w:space="0"/>
              <w:right w:val="single" w:color="auto" w:sz="4" w:space="0"/>
            </w:tcBorders>
            <w:noWrap w:val="0"/>
            <w:vAlign w:val="center"/>
          </w:tcPr>
          <w:p w14:paraId="2C40B033">
            <w:pPr>
              <w:spacing w:line="400" w:lineRule="exact"/>
              <w:jc w:val="center"/>
              <w:rPr>
                <w:bCs/>
                <w:spacing w:val="8"/>
                <w:sz w:val="24"/>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14:paraId="2125FA2F">
            <w:pPr>
              <w:spacing w:line="400" w:lineRule="exact"/>
              <w:jc w:val="center"/>
              <w:rPr>
                <w:bCs/>
                <w:spacing w:val="8"/>
                <w:sz w:val="24"/>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14:paraId="41E7A748">
            <w:pPr>
              <w:spacing w:line="400" w:lineRule="exact"/>
              <w:jc w:val="center"/>
              <w:rPr>
                <w:bCs/>
                <w:spacing w:val="8"/>
                <w:sz w:val="24"/>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14:paraId="17E1E4C9">
            <w:pPr>
              <w:spacing w:line="400" w:lineRule="exact"/>
              <w:jc w:val="center"/>
              <w:rPr>
                <w:bCs/>
                <w:spacing w:val="8"/>
                <w:sz w:val="24"/>
              </w:rPr>
            </w:pPr>
          </w:p>
        </w:tc>
      </w:tr>
      <w:tr w14:paraId="22CD13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14:paraId="08641080">
            <w:pPr>
              <w:spacing w:line="400" w:lineRule="exact"/>
              <w:jc w:val="center"/>
              <w:rPr>
                <w:rFonts w:hint="eastAsia"/>
                <w:bCs/>
                <w:spacing w:val="8"/>
                <w:sz w:val="24"/>
              </w:rPr>
            </w:pPr>
          </w:p>
        </w:tc>
        <w:tc>
          <w:tcPr>
            <w:tcW w:w="3021" w:type="dxa"/>
            <w:gridSpan w:val="2"/>
            <w:tcBorders>
              <w:top w:val="single" w:color="auto" w:sz="4" w:space="0"/>
              <w:left w:val="single" w:color="auto" w:sz="4" w:space="0"/>
              <w:bottom w:val="single" w:color="auto" w:sz="4" w:space="0"/>
              <w:right w:val="single" w:color="auto" w:sz="4" w:space="0"/>
            </w:tcBorders>
            <w:noWrap w:val="0"/>
            <w:vAlign w:val="center"/>
          </w:tcPr>
          <w:p w14:paraId="7F346871">
            <w:pPr>
              <w:spacing w:line="400" w:lineRule="exact"/>
              <w:jc w:val="center"/>
              <w:rPr>
                <w:bCs/>
                <w:spacing w:val="8"/>
                <w:sz w:val="24"/>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14:paraId="18AB2F70">
            <w:pPr>
              <w:spacing w:line="400" w:lineRule="exact"/>
              <w:jc w:val="center"/>
              <w:rPr>
                <w:bCs/>
                <w:spacing w:val="8"/>
                <w:sz w:val="24"/>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14:paraId="47B58D62">
            <w:pPr>
              <w:spacing w:line="400" w:lineRule="exact"/>
              <w:jc w:val="center"/>
              <w:rPr>
                <w:bCs/>
                <w:spacing w:val="8"/>
                <w:sz w:val="24"/>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14:paraId="0C81AF11">
            <w:pPr>
              <w:spacing w:line="400" w:lineRule="exact"/>
              <w:jc w:val="center"/>
              <w:rPr>
                <w:bCs/>
                <w:spacing w:val="8"/>
                <w:sz w:val="24"/>
              </w:rPr>
            </w:pPr>
          </w:p>
        </w:tc>
      </w:tr>
      <w:tr w14:paraId="0298B5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14:paraId="6557C075">
            <w:pPr>
              <w:spacing w:line="400" w:lineRule="exact"/>
              <w:jc w:val="center"/>
              <w:rPr>
                <w:rFonts w:hint="eastAsia"/>
                <w:bCs/>
                <w:spacing w:val="8"/>
                <w:sz w:val="24"/>
              </w:rPr>
            </w:pPr>
          </w:p>
        </w:tc>
        <w:tc>
          <w:tcPr>
            <w:tcW w:w="3021" w:type="dxa"/>
            <w:gridSpan w:val="2"/>
            <w:tcBorders>
              <w:top w:val="single" w:color="auto" w:sz="4" w:space="0"/>
              <w:left w:val="single" w:color="auto" w:sz="4" w:space="0"/>
              <w:bottom w:val="single" w:color="auto" w:sz="4" w:space="0"/>
              <w:right w:val="single" w:color="auto" w:sz="4" w:space="0"/>
            </w:tcBorders>
            <w:noWrap w:val="0"/>
            <w:vAlign w:val="center"/>
          </w:tcPr>
          <w:p w14:paraId="5F9FBA04">
            <w:pPr>
              <w:spacing w:line="400" w:lineRule="exact"/>
              <w:jc w:val="center"/>
              <w:rPr>
                <w:bCs/>
                <w:spacing w:val="8"/>
                <w:sz w:val="24"/>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14:paraId="7B2F1FBE">
            <w:pPr>
              <w:spacing w:line="400" w:lineRule="exact"/>
              <w:jc w:val="center"/>
              <w:rPr>
                <w:bCs/>
                <w:spacing w:val="8"/>
                <w:sz w:val="24"/>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14:paraId="65723604">
            <w:pPr>
              <w:spacing w:line="400" w:lineRule="exact"/>
              <w:jc w:val="center"/>
              <w:rPr>
                <w:bCs/>
                <w:spacing w:val="8"/>
                <w:sz w:val="24"/>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14:paraId="43450D64">
            <w:pPr>
              <w:spacing w:line="400" w:lineRule="exact"/>
              <w:jc w:val="center"/>
              <w:rPr>
                <w:bCs/>
                <w:spacing w:val="8"/>
                <w:sz w:val="24"/>
              </w:rPr>
            </w:pPr>
          </w:p>
        </w:tc>
      </w:tr>
      <w:tr w14:paraId="6C6FE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14:paraId="15076878">
            <w:pPr>
              <w:spacing w:line="400" w:lineRule="exact"/>
              <w:jc w:val="center"/>
              <w:rPr>
                <w:rFonts w:hint="eastAsia"/>
                <w:bCs/>
                <w:spacing w:val="8"/>
                <w:sz w:val="24"/>
              </w:rPr>
            </w:pPr>
          </w:p>
        </w:tc>
        <w:tc>
          <w:tcPr>
            <w:tcW w:w="3021" w:type="dxa"/>
            <w:gridSpan w:val="2"/>
            <w:tcBorders>
              <w:top w:val="single" w:color="auto" w:sz="4" w:space="0"/>
              <w:left w:val="single" w:color="auto" w:sz="4" w:space="0"/>
              <w:bottom w:val="single" w:color="auto" w:sz="4" w:space="0"/>
              <w:right w:val="single" w:color="auto" w:sz="4" w:space="0"/>
            </w:tcBorders>
            <w:noWrap w:val="0"/>
            <w:vAlign w:val="center"/>
          </w:tcPr>
          <w:p w14:paraId="6CFA8690">
            <w:pPr>
              <w:spacing w:line="400" w:lineRule="exact"/>
              <w:jc w:val="center"/>
              <w:rPr>
                <w:bCs/>
                <w:spacing w:val="8"/>
                <w:sz w:val="24"/>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14:paraId="7B20CF50">
            <w:pPr>
              <w:spacing w:line="400" w:lineRule="exact"/>
              <w:jc w:val="center"/>
              <w:rPr>
                <w:bCs/>
                <w:spacing w:val="8"/>
                <w:sz w:val="24"/>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14:paraId="37AA1552">
            <w:pPr>
              <w:spacing w:line="400" w:lineRule="exact"/>
              <w:jc w:val="center"/>
              <w:rPr>
                <w:bCs/>
                <w:spacing w:val="8"/>
                <w:sz w:val="24"/>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14:paraId="7C43FEC5">
            <w:pPr>
              <w:spacing w:line="400" w:lineRule="exact"/>
              <w:jc w:val="center"/>
              <w:rPr>
                <w:bCs/>
                <w:spacing w:val="8"/>
                <w:sz w:val="24"/>
              </w:rPr>
            </w:pPr>
          </w:p>
        </w:tc>
      </w:tr>
      <w:tr w14:paraId="618DD9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3" w:hRule="atLeast"/>
          <w:jc w:val="center"/>
        </w:trPr>
        <w:tc>
          <w:tcPr>
            <w:tcW w:w="2670" w:type="dxa"/>
            <w:gridSpan w:val="2"/>
            <w:tcBorders>
              <w:top w:val="single" w:color="auto" w:sz="4" w:space="0"/>
              <w:left w:val="single" w:color="auto" w:sz="4" w:space="0"/>
              <w:bottom w:val="single" w:color="auto" w:sz="4" w:space="0"/>
              <w:right w:val="single" w:color="auto" w:sz="4" w:space="0"/>
            </w:tcBorders>
            <w:noWrap w:val="0"/>
            <w:vAlign w:val="center"/>
          </w:tcPr>
          <w:p w14:paraId="1C20A0D4">
            <w:pPr>
              <w:spacing w:line="400" w:lineRule="exact"/>
              <w:jc w:val="center"/>
              <w:rPr>
                <w:bCs/>
                <w:spacing w:val="8"/>
                <w:sz w:val="24"/>
              </w:rPr>
            </w:pPr>
            <w:r>
              <w:rPr>
                <w:rFonts w:hint="eastAsia"/>
                <w:b/>
                <w:spacing w:val="8"/>
                <w:sz w:val="28"/>
                <w:szCs w:val="28"/>
              </w:rPr>
              <w:t>结算价下浮百分率</w:t>
            </w:r>
          </w:p>
        </w:tc>
        <w:tc>
          <w:tcPr>
            <w:tcW w:w="9714" w:type="dxa"/>
            <w:gridSpan w:val="4"/>
            <w:tcBorders>
              <w:top w:val="single" w:color="auto" w:sz="4" w:space="0"/>
              <w:left w:val="single" w:color="auto" w:sz="4" w:space="0"/>
              <w:bottom w:val="single" w:color="auto" w:sz="4" w:space="0"/>
              <w:right w:val="single" w:color="auto" w:sz="4" w:space="0"/>
            </w:tcBorders>
            <w:noWrap w:val="0"/>
            <w:vAlign w:val="center"/>
          </w:tcPr>
          <w:p w14:paraId="6A65C4D1">
            <w:pPr>
              <w:spacing w:line="400" w:lineRule="exact"/>
              <w:rPr>
                <w:rFonts w:hint="eastAsia"/>
                <w:bCs/>
                <w:spacing w:val="8"/>
                <w:sz w:val="24"/>
              </w:rPr>
            </w:pPr>
          </w:p>
        </w:tc>
      </w:tr>
      <w:tr w14:paraId="48980A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99" w:hRule="atLeast"/>
          <w:jc w:val="center"/>
        </w:trPr>
        <w:tc>
          <w:tcPr>
            <w:tcW w:w="12384" w:type="dxa"/>
            <w:gridSpan w:val="6"/>
            <w:tcBorders>
              <w:top w:val="single" w:color="auto" w:sz="4" w:space="0"/>
              <w:left w:val="single" w:color="auto" w:sz="4" w:space="0"/>
              <w:bottom w:val="single" w:color="auto" w:sz="4" w:space="0"/>
              <w:right w:val="single" w:color="auto" w:sz="4" w:space="0"/>
            </w:tcBorders>
            <w:noWrap w:val="0"/>
            <w:vAlign w:val="center"/>
          </w:tcPr>
          <w:p w14:paraId="69B9BD49">
            <w:pPr>
              <w:widowControl/>
              <w:spacing w:line="400" w:lineRule="exact"/>
              <w:rPr>
                <w:rFonts w:hint="eastAsia" w:hAnsi="宋体" w:cs="Arial"/>
                <w:bCs/>
                <w:spacing w:val="8"/>
                <w:sz w:val="24"/>
              </w:rPr>
            </w:pPr>
            <w:r>
              <w:rPr>
                <w:rFonts w:hAnsi="宋体" w:cs="Arial"/>
                <w:b/>
                <w:bCs/>
                <w:spacing w:val="8"/>
                <w:sz w:val="24"/>
              </w:rPr>
              <w:t>投标人（章）</w:t>
            </w:r>
            <w:r>
              <w:rPr>
                <w:rFonts w:cs="Arial"/>
                <w:b/>
                <w:bCs/>
                <w:spacing w:val="8"/>
                <w:sz w:val="24"/>
              </w:rPr>
              <w:t xml:space="preserve">  </w:t>
            </w:r>
            <w:r>
              <w:rPr>
                <w:rFonts w:hint="eastAsia" w:cs="Arial"/>
                <w:b/>
                <w:bCs/>
                <w:spacing w:val="8"/>
                <w:sz w:val="24"/>
              </w:rPr>
              <w:t xml:space="preserve">                </w:t>
            </w:r>
            <w:r>
              <w:rPr>
                <w:rFonts w:hAnsi="宋体" w:cs="Arial"/>
                <w:b/>
                <w:bCs/>
                <w:spacing w:val="8"/>
                <w:sz w:val="24"/>
              </w:rPr>
              <w:t>法人代表或授权代表（签字）</w:t>
            </w:r>
            <w:r>
              <w:rPr>
                <w:rFonts w:hint="eastAsia" w:cs="Arial"/>
                <w:b/>
                <w:bCs/>
                <w:spacing w:val="8"/>
                <w:sz w:val="24"/>
              </w:rPr>
              <w:t xml:space="preserve">                 </w:t>
            </w:r>
            <w:r>
              <w:rPr>
                <w:rFonts w:hAnsi="宋体" w:cs="Arial"/>
                <w:b/>
                <w:bCs/>
                <w:spacing w:val="8"/>
                <w:sz w:val="24"/>
              </w:rPr>
              <w:t>年</w:t>
            </w:r>
            <w:r>
              <w:rPr>
                <w:rFonts w:cs="Arial"/>
                <w:b/>
                <w:bCs/>
                <w:spacing w:val="8"/>
                <w:sz w:val="24"/>
              </w:rPr>
              <w:t xml:space="preserve">    </w:t>
            </w:r>
            <w:r>
              <w:rPr>
                <w:rFonts w:hAnsi="宋体" w:cs="Arial"/>
                <w:b/>
                <w:bCs/>
                <w:spacing w:val="8"/>
                <w:sz w:val="24"/>
              </w:rPr>
              <w:t>月</w:t>
            </w:r>
            <w:r>
              <w:rPr>
                <w:rFonts w:cs="Arial"/>
                <w:b/>
                <w:bCs/>
                <w:spacing w:val="8"/>
                <w:sz w:val="24"/>
              </w:rPr>
              <w:t xml:space="preserve">    </w:t>
            </w:r>
            <w:r>
              <w:rPr>
                <w:rFonts w:hAnsi="宋体" w:cs="Arial"/>
                <w:b/>
                <w:bCs/>
                <w:spacing w:val="8"/>
                <w:sz w:val="24"/>
              </w:rPr>
              <w:t>日</w:t>
            </w:r>
          </w:p>
        </w:tc>
      </w:tr>
    </w:tbl>
    <w:p w14:paraId="5C07A8C5">
      <w:pPr>
        <w:pStyle w:val="5"/>
        <w:tabs>
          <w:tab w:val="right" w:pos="4200"/>
          <w:tab w:val="clear" w:pos="0"/>
          <w:tab w:val="clear" w:pos="993"/>
          <w:tab w:val="clear" w:pos="1134"/>
        </w:tabs>
        <w:spacing w:after="100" w:line="580" w:lineRule="exact"/>
        <w:ind w:firstLine="512" w:firstLineChars="200"/>
        <w:rPr>
          <w:rFonts w:cs="Arial"/>
          <w:b/>
          <w:bCs/>
          <w:spacing w:val="8"/>
          <w:sz w:val="24"/>
        </w:rPr>
        <w:sectPr>
          <w:type w:val="continuous"/>
          <w:pgSz w:w="16838" w:h="11906" w:orient="landscape"/>
          <w:pgMar w:top="1440" w:right="1800" w:bottom="1440" w:left="1800" w:header="851" w:footer="992" w:gutter="0"/>
          <w:cols w:space="720" w:num="1"/>
          <w:docGrid w:type="linesAndChars" w:linePitch="312" w:charSpace="0"/>
        </w:sectPr>
      </w:pPr>
      <w:r>
        <w:rPr>
          <w:rFonts w:cs="Arial"/>
          <w:b/>
          <w:bCs/>
          <w:spacing w:val="8"/>
          <w:sz w:val="24"/>
        </w:rPr>
        <w:t xml:space="preserve">                            </w:t>
      </w:r>
      <w:r>
        <w:rPr>
          <w:rFonts w:hint="eastAsia" w:cs="Arial"/>
          <w:b/>
          <w:bCs/>
          <w:spacing w:val="8"/>
          <w:sz w:val="24"/>
        </w:rPr>
        <w:t xml:space="preserve">    </w:t>
      </w:r>
    </w:p>
    <w:p w14:paraId="41D5E36F">
      <w:pPr>
        <w:pStyle w:val="9"/>
        <w:jc w:val="both"/>
        <w:rPr>
          <w:rFonts w:hint="eastAsia"/>
        </w:rPr>
      </w:pPr>
      <w:bookmarkStart w:id="6" w:name="_Toc13935"/>
      <w:bookmarkStart w:id="7" w:name="_Toc409429600"/>
      <w:r>
        <w:rPr>
          <w:rFonts w:hint="eastAsia"/>
        </w:rPr>
        <w:t>附件三</w:t>
      </w:r>
      <w:bookmarkEnd w:id="6"/>
      <w:bookmarkEnd w:id="7"/>
      <w:r>
        <w:rPr>
          <w:rFonts w:hint="eastAsia"/>
        </w:rPr>
        <w:t xml:space="preserve"> </w:t>
      </w:r>
    </w:p>
    <w:p w14:paraId="4F53974D">
      <w:pPr>
        <w:pStyle w:val="13"/>
        <w:jc w:val="center"/>
        <w:rPr>
          <w:rFonts w:hint="eastAsia" w:cs="Arial"/>
          <w:b/>
          <w:spacing w:val="8"/>
          <w:u w:val="single"/>
        </w:rPr>
      </w:pPr>
      <w:bookmarkStart w:id="8" w:name="_Toc19836"/>
      <w:r>
        <w:rPr>
          <w:rFonts w:hint="eastAsia" w:ascii="宋体" w:hAnsi="宋体" w:eastAsia="宋体" w:cs="宋体"/>
          <w:b/>
          <w:bCs w:val="0"/>
          <w:sz w:val="32"/>
        </w:rPr>
        <w:t>法定代表人授权书（格式）</w:t>
      </w:r>
      <w:bookmarkEnd w:id="8"/>
    </w:p>
    <w:p w14:paraId="3F722E53">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14:paraId="45837112">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14:paraId="234EF68A">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14:paraId="39E51FD2">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14:paraId="03B05888">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日签字生效。被授权人签署的所有文件（在授权书有效期内签署的）不因授权的撤消而失效。</w:t>
      </w:r>
    </w:p>
    <w:p w14:paraId="29FE0370">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14:paraId="0E25CC15">
      <w:pPr>
        <w:pStyle w:val="6"/>
        <w:tabs>
          <w:tab w:val="left" w:pos="2140"/>
          <w:tab w:val="right" w:pos="9582"/>
        </w:tabs>
        <w:spacing w:after="100" w:line="520" w:lineRule="exact"/>
        <w:ind w:left="0" w:leftChars="0"/>
        <w:jc w:val="left"/>
        <w:rPr>
          <w:rFonts w:cs="Arial"/>
          <w:bCs/>
          <w:spacing w:val="8"/>
          <w:sz w:val="24"/>
          <w:szCs w:val="24"/>
        </w:rPr>
      </w:pPr>
      <w:r>
        <w:rPr>
          <w:rFonts w:hAnsi="宋体" w:cs="Arial"/>
          <w:bCs/>
          <w:spacing w:val="8"/>
          <w:sz w:val="24"/>
          <w:szCs w:val="24"/>
        </w:rPr>
        <w:t>职</w:t>
      </w:r>
      <w:r>
        <w:rPr>
          <w:rFonts w:cs="Arial"/>
          <w:bCs/>
          <w:spacing w:val="8"/>
          <w:sz w:val="24"/>
          <w:szCs w:val="24"/>
        </w:rPr>
        <w:t xml:space="preserve">       </w:t>
      </w:r>
      <w:r>
        <w:rPr>
          <w:rFonts w:hAnsi="宋体" w:cs="Arial"/>
          <w:bCs/>
          <w:spacing w:val="8"/>
          <w:sz w:val="24"/>
          <w:szCs w:val="24"/>
        </w:rPr>
        <w:t>务：</w:t>
      </w:r>
      <w:r>
        <w:rPr>
          <w:rFonts w:cs="Arial"/>
          <w:bCs/>
          <w:spacing w:val="8"/>
          <w:sz w:val="24"/>
          <w:szCs w:val="24"/>
        </w:rPr>
        <w:t xml:space="preserve">__________       </w:t>
      </w:r>
      <w:r>
        <w:rPr>
          <w:rFonts w:hAnsi="宋体" w:cs="Arial"/>
          <w:bCs/>
          <w:spacing w:val="8"/>
          <w:sz w:val="24"/>
          <w:szCs w:val="24"/>
        </w:rPr>
        <w:t>职</w:t>
      </w:r>
      <w:r>
        <w:rPr>
          <w:rFonts w:cs="Arial"/>
          <w:bCs/>
          <w:spacing w:val="8"/>
          <w:sz w:val="24"/>
          <w:szCs w:val="24"/>
        </w:rPr>
        <w:t xml:space="preserve"> </w:t>
      </w:r>
      <w:r>
        <w:rPr>
          <w:rFonts w:hint="eastAsia" w:cs="Arial"/>
          <w:bCs/>
          <w:spacing w:val="8"/>
          <w:sz w:val="24"/>
          <w:szCs w:val="24"/>
        </w:rPr>
        <w:t xml:space="preserve">  </w:t>
      </w:r>
      <w:r>
        <w:rPr>
          <w:rFonts w:cs="Arial"/>
          <w:bCs/>
          <w:spacing w:val="8"/>
          <w:sz w:val="24"/>
          <w:szCs w:val="24"/>
        </w:rPr>
        <w:t xml:space="preserve">   </w:t>
      </w:r>
      <w:r>
        <w:rPr>
          <w:rFonts w:hAnsi="宋体" w:cs="Arial"/>
          <w:bCs/>
          <w:spacing w:val="8"/>
          <w:sz w:val="24"/>
          <w:szCs w:val="24"/>
        </w:rPr>
        <w:t>务：</w:t>
      </w:r>
      <w:r>
        <w:rPr>
          <w:rFonts w:cs="Arial"/>
          <w:bCs/>
          <w:spacing w:val="8"/>
          <w:sz w:val="24"/>
          <w:szCs w:val="24"/>
        </w:rPr>
        <w:t xml:space="preserve"> _________</w:t>
      </w:r>
    </w:p>
    <w:p w14:paraId="4288C074">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w:t>
      </w:r>
      <w:r>
        <w:rPr>
          <w:rFonts w:hint="eastAsia" w:hAnsi="宋体" w:cs="Arial"/>
          <w:bCs/>
          <w:spacing w:val="8"/>
          <w:sz w:val="24"/>
        </w:rPr>
        <w:t xml:space="preserve"> </w:t>
      </w:r>
      <w:r>
        <w:rPr>
          <w:rFonts w:hAnsi="宋体" w:cs="Arial"/>
          <w:bCs/>
          <w:spacing w:val="8"/>
          <w:sz w:val="24"/>
        </w:rPr>
        <w:t>份</w:t>
      </w:r>
      <w:r>
        <w:rPr>
          <w:rFonts w:cs="Arial"/>
          <w:bCs/>
          <w:spacing w:val="8"/>
          <w:sz w:val="24"/>
        </w:rPr>
        <w:t xml:space="preserve"> </w:t>
      </w:r>
      <w:r>
        <w:rPr>
          <w:rFonts w:hAnsi="宋体" w:cs="Arial"/>
          <w:bCs/>
          <w:spacing w:val="8"/>
          <w:sz w:val="24"/>
        </w:rPr>
        <w:t>证</w:t>
      </w:r>
      <w:r>
        <w:rPr>
          <w:rFonts w:hint="eastAsia" w:hAnsi="宋体" w:cs="Arial"/>
          <w:bCs/>
          <w:spacing w:val="8"/>
          <w:sz w:val="24"/>
        </w:rPr>
        <w:t xml:space="preserve"> </w:t>
      </w:r>
      <w:r>
        <w:rPr>
          <w:rFonts w:hAnsi="宋体" w:cs="Arial"/>
          <w:bCs/>
          <w:spacing w:val="8"/>
          <w:sz w:val="24"/>
        </w:rPr>
        <w:t>号：</w:t>
      </w:r>
      <w:r>
        <w:rPr>
          <w:rFonts w:cs="Arial"/>
          <w:bCs/>
          <w:spacing w:val="8"/>
          <w:sz w:val="24"/>
        </w:rPr>
        <w:t xml:space="preserve"> _________</w:t>
      </w:r>
    </w:p>
    <w:p w14:paraId="793BED65">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14:paraId="6E4EDECC">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14:paraId="10714D54">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14:paraId="4F85C500">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14:paraId="566D249E">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14:paraId="1D5DBBDD">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14:paraId="26ACD6BD">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14:paraId="15BDFF8A">
      <w:pPr>
        <w:rPr>
          <w:rFonts w:hint="eastAsia"/>
        </w:rPr>
      </w:pPr>
    </w:p>
    <w:p w14:paraId="40E8E4AE">
      <w:pPr>
        <w:pStyle w:val="5"/>
        <w:tabs>
          <w:tab w:val="right" w:pos="4200"/>
          <w:tab w:val="clear" w:pos="0"/>
          <w:tab w:val="clear" w:pos="993"/>
          <w:tab w:val="clear" w:pos="1134"/>
        </w:tabs>
        <w:spacing w:after="100" w:line="580" w:lineRule="exact"/>
        <w:ind w:firstLine="514" w:firstLineChars="200"/>
        <w:rPr>
          <w:rFonts w:hint="eastAsia"/>
          <w:b/>
          <w:bCs/>
          <w:spacing w:val="8"/>
          <w:sz w:val="24"/>
        </w:rPr>
      </w:pPr>
    </w:p>
    <w:p w14:paraId="67694D09">
      <w:pPr>
        <w:pStyle w:val="5"/>
        <w:tabs>
          <w:tab w:val="right" w:pos="4200"/>
          <w:tab w:val="clear" w:pos="0"/>
          <w:tab w:val="clear" w:pos="993"/>
          <w:tab w:val="clear" w:pos="1134"/>
        </w:tabs>
        <w:spacing w:after="100" w:line="580" w:lineRule="exact"/>
        <w:rPr>
          <w:rFonts w:hint="eastAsia"/>
          <w:b/>
          <w:bCs/>
          <w:spacing w:val="8"/>
          <w:sz w:val="24"/>
        </w:rPr>
      </w:pPr>
    </w:p>
    <w:p w14:paraId="4BF376CE">
      <w:pPr>
        <w:pStyle w:val="9"/>
        <w:jc w:val="both"/>
        <w:rPr>
          <w:rFonts w:hint="eastAsia" w:ascii="Times New Roman" w:hAnsi="宋体"/>
        </w:rPr>
      </w:pPr>
      <w:bookmarkStart w:id="9" w:name="_Toc30424"/>
      <w:bookmarkStart w:id="10" w:name="_Toc409429601"/>
      <w:r>
        <w:rPr>
          <w:rFonts w:hint="eastAsia" w:ascii="Times New Roman" w:hAnsi="宋体"/>
        </w:rPr>
        <w:t>附件四</w:t>
      </w:r>
      <w:bookmarkEnd w:id="9"/>
      <w:bookmarkEnd w:id="10"/>
    </w:p>
    <w:p w14:paraId="4B892525">
      <w:pPr>
        <w:rPr>
          <w:rFonts w:ascii="华文中宋" w:hAnsi="华文中宋" w:eastAsia="华文中宋" w:cs="华文中宋"/>
          <w:b/>
          <w:color w:val="5B9BD5"/>
          <w:sz w:val="24"/>
          <w:szCs w:val="24"/>
        </w:rPr>
      </w:pPr>
      <w:r>
        <w:rPr>
          <w:b/>
          <w:color w:val="5B9BD5"/>
          <w:spacing w:val="8"/>
          <w:kern w:val="0"/>
          <w:sz w:val="28"/>
          <w:szCs w:val="28"/>
          <w:lang w:bidi="ar"/>
        </w:rPr>
        <w:t xml:space="preserve"> </w:t>
      </w:r>
      <w:r>
        <w:rPr>
          <w:rFonts w:ascii="华文中宋" w:hAnsi="华文中宋" w:eastAsia="华文中宋" w:cs="华文中宋"/>
          <w:b/>
          <w:color w:val="5B9BD5"/>
          <w:sz w:val="44"/>
          <w:szCs w:val="44"/>
          <w:lang w:bidi="ar"/>
        </w:rPr>
        <w:t xml:space="preserve">   </w:t>
      </w:r>
      <w:r>
        <w:rPr>
          <w:rFonts w:ascii="华文中宋" w:hAnsi="华文中宋" w:eastAsia="华文中宋" w:cs="华文中宋"/>
          <w:b/>
          <w:color w:val="5B9BD5"/>
          <w:sz w:val="24"/>
          <w:szCs w:val="24"/>
          <w:lang w:bidi="ar"/>
        </w:rPr>
        <w:t xml:space="preserve">    </w:t>
      </w:r>
    </w:p>
    <w:p w14:paraId="2A246F15">
      <w:pPr>
        <w:jc w:val="center"/>
        <w:rPr>
          <w:rFonts w:hint="eastAsia" w:ascii="宋体" w:hAnsi="宋体" w:cs="宋体"/>
          <w:b/>
          <w:color w:val="5B9BD5"/>
          <w:spacing w:val="8"/>
          <w:sz w:val="32"/>
          <w:szCs w:val="32"/>
          <w:u w:val="single"/>
        </w:rPr>
      </w:pPr>
      <w:bookmarkStart w:id="11" w:name="_Toc20201"/>
      <w:r>
        <w:rPr>
          <w:rStyle w:val="14"/>
          <w:rFonts w:hint="eastAsia" w:ascii="宋体" w:hAnsi="宋体" w:eastAsia="宋体" w:cs="宋体"/>
          <w:b/>
          <w:bCs w:val="0"/>
          <w:sz w:val="44"/>
          <w:szCs w:val="44"/>
          <w:lang w:val="en-US"/>
        </w:rPr>
        <w:t>企业法定代表人资格证明（格式）</w:t>
      </w:r>
      <w:bookmarkEnd w:id="11"/>
    </w:p>
    <w:p w14:paraId="403775AF">
      <w:pPr>
        <w:pStyle w:val="8"/>
        <w:widowControl/>
        <w:spacing w:line="500" w:lineRule="exact"/>
        <w:rPr>
          <w:rFonts w:hint="eastAsia" w:ascii="宋体" w:hAnsi="宋体" w:cs="宋体"/>
          <w:color w:val="5B9BD5"/>
          <w:kern w:val="0"/>
          <w:sz w:val="28"/>
          <w:szCs w:val="28"/>
        </w:rPr>
      </w:pPr>
      <w:r>
        <w:rPr>
          <w:rFonts w:hint="eastAsia" w:ascii="宋体" w:hAnsi="宋体" w:cs="宋体"/>
          <w:color w:val="5B9BD5"/>
          <w:kern w:val="0"/>
          <w:sz w:val="28"/>
          <w:szCs w:val="28"/>
          <w:lang w:bidi="ar"/>
        </w:rPr>
        <w:t xml:space="preserve"> </w:t>
      </w:r>
    </w:p>
    <w:p w14:paraId="4F9D6635">
      <w:pPr>
        <w:spacing w:line="360" w:lineRule="auto"/>
        <w:rPr>
          <w:rFonts w:hint="eastAsia" w:ascii="宋体" w:hAnsi="宋体"/>
          <w:sz w:val="30"/>
          <w:szCs w:val="30"/>
        </w:rPr>
      </w:pPr>
      <w:r>
        <w:rPr>
          <w:rFonts w:hint="eastAsia" w:ascii="宋体" w:hAnsi="宋体"/>
          <w:sz w:val="30"/>
          <w:szCs w:val="30"/>
        </w:rPr>
        <w:t>（法人姓名）系（公司名字）的法定代表人，职务为______身份证号码为_________。</w:t>
      </w:r>
    </w:p>
    <w:p w14:paraId="203C3248">
      <w:pPr>
        <w:spacing w:line="360" w:lineRule="auto"/>
        <w:rPr>
          <w:rFonts w:hint="eastAsia" w:ascii="宋体" w:hAnsi="宋体"/>
          <w:sz w:val="30"/>
          <w:szCs w:val="30"/>
        </w:rPr>
      </w:pPr>
      <w:r>
        <w:rPr>
          <w:rFonts w:hint="eastAsia" w:ascii="宋体" w:hAnsi="宋体"/>
          <w:sz w:val="30"/>
          <w:szCs w:val="30"/>
        </w:rPr>
        <w:t xml:space="preserve"> </w:t>
      </w:r>
    </w:p>
    <w:p w14:paraId="7FF731F2">
      <w:pPr>
        <w:spacing w:line="360" w:lineRule="auto"/>
        <w:rPr>
          <w:rFonts w:hint="eastAsia" w:ascii="宋体" w:hAnsi="宋体"/>
          <w:sz w:val="30"/>
          <w:szCs w:val="30"/>
        </w:rPr>
      </w:pPr>
      <w:r>
        <w:rPr>
          <w:rFonts w:hint="eastAsia" w:ascii="宋体" w:hAnsi="宋体"/>
          <w:sz w:val="30"/>
          <w:szCs w:val="30"/>
        </w:rPr>
        <w:t xml:space="preserve"> </w:t>
      </w:r>
    </w:p>
    <w:p w14:paraId="11A575F2">
      <w:pPr>
        <w:spacing w:line="360" w:lineRule="auto"/>
        <w:jc w:val="right"/>
        <w:rPr>
          <w:rFonts w:hint="eastAsia" w:ascii="宋体" w:hAnsi="宋体"/>
          <w:sz w:val="30"/>
          <w:szCs w:val="30"/>
        </w:rPr>
      </w:pPr>
      <w:r>
        <w:rPr>
          <w:rFonts w:hint="eastAsia" w:ascii="宋体" w:hAnsi="宋体"/>
          <w:sz w:val="30"/>
          <w:szCs w:val="30"/>
        </w:rPr>
        <w:t>（</w:t>
      </w:r>
      <w:r>
        <w:rPr>
          <w:rFonts w:hint="eastAsia" w:ascii="宋体" w:hAnsi="宋体"/>
          <w:sz w:val="30"/>
          <w:szCs w:val="30"/>
          <w:u w:val="single"/>
        </w:rPr>
        <w:t>投标人名称</w:t>
      </w:r>
      <w:r>
        <w:rPr>
          <w:rFonts w:hint="eastAsia" w:ascii="宋体" w:hAnsi="宋体"/>
          <w:sz w:val="30"/>
          <w:szCs w:val="30"/>
        </w:rPr>
        <w:t>）（盖章）</w:t>
      </w:r>
    </w:p>
    <w:p w14:paraId="175687A3">
      <w:pPr>
        <w:rPr>
          <w:rFonts w:hint="eastAsia" w:hAnsi="宋体"/>
        </w:rPr>
      </w:pPr>
    </w:p>
    <w:p w14:paraId="7F70FBCA">
      <w:pPr>
        <w:pStyle w:val="2"/>
        <w:ind w:left="2250" w:hanging="1200"/>
        <w:rPr>
          <w:rFonts w:hint="eastAsia" w:ascii="Times New Roman" w:hAnsi="宋体"/>
        </w:rPr>
      </w:pPr>
    </w:p>
    <w:p w14:paraId="2B54763A">
      <w:pPr>
        <w:spacing w:after="100" w:line="500" w:lineRule="exact"/>
        <w:ind w:firstLine="5600" w:firstLineChars="2000"/>
        <w:jc w:val="right"/>
        <w:rPr>
          <w:rFonts w:hint="eastAsia" w:ascii="宋体" w:hAnsi="宋体" w:cs="宋体"/>
          <w:sz w:val="28"/>
          <w:szCs w:val="28"/>
        </w:rPr>
      </w:pPr>
      <w:r>
        <w:rPr>
          <w:rFonts w:hint="eastAsia" w:ascii="宋体" w:hAnsi="宋体" w:cs="宋体"/>
          <w:sz w:val="28"/>
          <w:szCs w:val="28"/>
          <w:lang w:bidi="ar"/>
        </w:rPr>
        <w:t>年  月  日</w:t>
      </w:r>
    </w:p>
    <w:p w14:paraId="7167ECD4">
      <w:pPr>
        <w:rPr>
          <w:rFonts w:hint="eastAsia" w:hAnsi="宋体"/>
        </w:rPr>
      </w:pPr>
    </w:p>
    <w:p w14:paraId="5AA4A272">
      <w:pPr>
        <w:pStyle w:val="2"/>
        <w:ind w:left="2250" w:hanging="1200"/>
        <w:rPr>
          <w:rFonts w:hint="eastAsia" w:ascii="Times New Roman" w:hAnsi="宋体"/>
        </w:rPr>
      </w:pPr>
    </w:p>
    <w:p w14:paraId="0D8C3CAD">
      <w:pPr>
        <w:rPr>
          <w:rFonts w:hint="eastAsia" w:hAnsi="宋体"/>
        </w:rPr>
      </w:pPr>
    </w:p>
    <w:p w14:paraId="4EAAD069">
      <w:pPr>
        <w:pStyle w:val="2"/>
        <w:ind w:left="2250" w:hanging="1200"/>
        <w:rPr>
          <w:rFonts w:hint="eastAsia" w:ascii="Times New Roman" w:hAnsi="宋体"/>
        </w:rPr>
      </w:pPr>
    </w:p>
    <w:p w14:paraId="118CD1EE">
      <w:pPr>
        <w:rPr>
          <w:rFonts w:hint="eastAsia" w:hAnsi="宋体"/>
        </w:rPr>
      </w:pPr>
    </w:p>
    <w:p w14:paraId="0FDC597E">
      <w:pPr>
        <w:pStyle w:val="2"/>
        <w:ind w:left="2250" w:hanging="1200"/>
        <w:rPr>
          <w:rFonts w:hint="eastAsia" w:ascii="Times New Roman" w:hAnsi="宋体"/>
        </w:rPr>
      </w:pPr>
    </w:p>
    <w:p w14:paraId="6F2A1DE9">
      <w:pPr>
        <w:rPr>
          <w:rFonts w:hint="eastAsia" w:hAnsi="宋体"/>
        </w:rPr>
      </w:pPr>
    </w:p>
    <w:p w14:paraId="175027AE">
      <w:pPr>
        <w:pStyle w:val="2"/>
        <w:ind w:left="2250" w:hanging="1200"/>
        <w:rPr>
          <w:rFonts w:hint="eastAsia" w:ascii="Times New Roman" w:hAnsi="宋体"/>
        </w:rPr>
      </w:pPr>
    </w:p>
    <w:p w14:paraId="14F8FA1E">
      <w:pPr>
        <w:rPr>
          <w:rFonts w:hint="eastAsia" w:hAnsi="宋体"/>
        </w:rPr>
      </w:pPr>
    </w:p>
    <w:p w14:paraId="6C9F7F9C">
      <w:pPr>
        <w:pStyle w:val="2"/>
        <w:ind w:left="2250" w:hanging="1200"/>
        <w:rPr>
          <w:rFonts w:hint="eastAsia" w:ascii="Times New Roman" w:hAnsi="宋体"/>
        </w:rPr>
      </w:pPr>
    </w:p>
    <w:p w14:paraId="225869CF">
      <w:pPr>
        <w:rPr>
          <w:rFonts w:hint="eastAsia" w:hAnsi="宋体"/>
        </w:rPr>
      </w:pPr>
    </w:p>
    <w:p w14:paraId="20C85B01">
      <w:pPr>
        <w:pStyle w:val="2"/>
        <w:ind w:left="2250" w:hanging="1200"/>
        <w:rPr>
          <w:rFonts w:hint="eastAsia" w:ascii="Times New Roman" w:hAnsi="宋体"/>
        </w:rPr>
      </w:pPr>
    </w:p>
    <w:p w14:paraId="7F29426B">
      <w:pPr>
        <w:rPr>
          <w:rFonts w:hint="eastAsia" w:hAnsi="宋体"/>
        </w:rPr>
      </w:pPr>
    </w:p>
    <w:p w14:paraId="02235645">
      <w:pPr>
        <w:pStyle w:val="2"/>
        <w:ind w:left="2250" w:hanging="1200"/>
        <w:rPr>
          <w:rFonts w:hint="eastAsia" w:ascii="Times New Roman" w:hAnsi="宋体"/>
        </w:rPr>
      </w:pPr>
    </w:p>
    <w:p w14:paraId="7C21E24C">
      <w:pPr>
        <w:rPr>
          <w:rFonts w:hint="eastAsia" w:hAnsi="宋体"/>
        </w:rPr>
      </w:pPr>
    </w:p>
    <w:p w14:paraId="1BFB6587">
      <w:pPr>
        <w:pStyle w:val="2"/>
        <w:ind w:left="2250" w:hanging="1200"/>
        <w:rPr>
          <w:rFonts w:hint="eastAsia" w:ascii="Times New Roman" w:hAnsi="宋体"/>
        </w:rPr>
      </w:pPr>
    </w:p>
    <w:p w14:paraId="2A92EF83">
      <w:pPr>
        <w:rPr>
          <w:rFonts w:hint="eastAsia" w:hAnsi="宋体"/>
        </w:rPr>
      </w:pPr>
    </w:p>
    <w:p w14:paraId="412DA6AA">
      <w:pPr>
        <w:pStyle w:val="2"/>
        <w:ind w:left="2250" w:hanging="1200"/>
        <w:rPr>
          <w:rFonts w:hint="eastAsia" w:ascii="Times New Roman" w:hAnsi="宋体"/>
        </w:rPr>
      </w:pPr>
    </w:p>
    <w:p w14:paraId="7D432B98">
      <w:pPr>
        <w:rPr>
          <w:rFonts w:hint="eastAsia" w:hAnsi="宋体"/>
        </w:rPr>
      </w:pPr>
    </w:p>
    <w:p w14:paraId="7D48C7CD">
      <w:pPr>
        <w:pStyle w:val="2"/>
        <w:ind w:left="2250" w:hanging="1200"/>
        <w:rPr>
          <w:rFonts w:hint="eastAsia" w:ascii="Times New Roman" w:hAnsi="宋体"/>
        </w:rPr>
      </w:pPr>
    </w:p>
    <w:p w14:paraId="2BDFC271">
      <w:pPr>
        <w:rPr>
          <w:rFonts w:hint="eastAsia" w:hAnsi="宋体"/>
        </w:rPr>
      </w:pPr>
    </w:p>
    <w:p w14:paraId="7609FB19">
      <w:pPr>
        <w:pStyle w:val="2"/>
        <w:ind w:left="2250" w:hanging="1200"/>
        <w:rPr>
          <w:rFonts w:hint="eastAsia" w:ascii="Times New Roman" w:hAnsi="宋体"/>
        </w:rPr>
      </w:pPr>
    </w:p>
    <w:p w14:paraId="35F80718">
      <w:pPr>
        <w:rPr>
          <w:rFonts w:hint="eastAsia" w:hAnsi="宋体"/>
        </w:rPr>
      </w:pPr>
    </w:p>
    <w:p w14:paraId="2E2D422A">
      <w:pPr>
        <w:pStyle w:val="2"/>
        <w:ind w:left="2250" w:hanging="1200"/>
        <w:rPr>
          <w:rFonts w:hint="eastAsia" w:ascii="Times New Roman" w:hAnsi="宋体"/>
        </w:rPr>
      </w:pPr>
    </w:p>
    <w:p w14:paraId="40749027">
      <w:pPr>
        <w:rPr>
          <w:rFonts w:hint="eastAsia" w:hAnsi="宋体"/>
        </w:rPr>
      </w:pPr>
    </w:p>
    <w:p w14:paraId="3E953EFB">
      <w:pPr>
        <w:pStyle w:val="2"/>
        <w:ind w:left="2250" w:hanging="1200"/>
        <w:rPr>
          <w:rFonts w:hint="eastAsia" w:ascii="Times New Roman" w:hAnsi="宋体"/>
        </w:rPr>
      </w:pPr>
    </w:p>
    <w:p w14:paraId="46172735">
      <w:pPr>
        <w:rPr>
          <w:rFonts w:hint="eastAsia" w:hAnsi="宋体"/>
        </w:rPr>
      </w:pPr>
    </w:p>
    <w:p w14:paraId="41FB3ABD">
      <w:pPr>
        <w:pStyle w:val="2"/>
        <w:ind w:left="2250" w:hanging="1200"/>
        <w:rPr>
          <w:rFonts w:hint="eastAsia" w:ascii="Times New Roman" w:hAnsi="宋体"/>
        </w:rPr>
      </w:pPr>
    </w:p>
    <w:p w14:paraId="6F6CBC33">
      <w:pPr>
        <w:rPr>
          <w:rFonts w:hint="eastAsia" w:hAnsi="宋体"/>
        </w:rPr>
      </w:pPr>
    </w:p>
    <w:p w14:paraId="314489DD">
      <w:pPr>
        <w:pStyle w:val="2"/>
        <w:ind w:left="2250" w:hanging="1200"/>
        <w:rPr>
          <w:rFonts w:hint="eastAsia" w:ascii="Times New Roman" w:hAnsi="宋体"/>
        </w:rPr>
      </w:pPr>
    </w:p>
    <w:p w14:paraId="4B8D7AEF">
      <w:pPr>
        <w:rPr>
          <w:rFonts w:hint="eastAsia"/>
        </w:rPr>
      </w:pPr>
    </w:p>
    <w:p w14:paraId="070E3A7F">
      <w:pPr>
        <w:pStyle w:val="9"/>
        <w:jc w:val="left"/>
        <w:rPr>
          <w:rFonts w:hint="eastAsia"/>
        </w:rPr>
      </w:pPr>
      <w:bookmarkStart w:id="12" w:name="_Toc11066"/>
      <w:r>
        <w:rPr>
          <w:rFonts w:hint="eastAsia"/>
        </w:rPr>
        <w:t>附件五</w:t>
      </w:r>
      <w:bookmarkEnd w:id="12"/>
    </w:p>
    <w:p w14:paraId="5F3FA39F">
      <w:pPr>
        <w:pStyle w:val="13"/>
        <w:jc w:val="center"/>
        <w:rPr>
          <w:rFonts w:hint="eastAsia"/>
          <w:sz w:val="44"/>
          <w:szCs w:val="44"/>
        </w:rPr>
      </w:pPr>
      <w:bookmarkStart w:id="13" w:name="_Toc1510"/>
      <w:r>
        <w:rPr>
          <w:rFonts w:hint="eastAsia"/>
          <w:sz w:val="44"/>
          <w:szCs w:val="44"/>
        </w:rPr>
        <w:t>承诺函</w:t>
      </w:r>
      <w:bookmarkEnd w:id="13"/>
    </w:p>
    <w:p w14:paraId="5E71EA39">
      <w:pPr>
        <w:spacing w:line="360" w:lineRule="auto"/>
        <w:rPr>
          <w:rFonts w:hint="eastAsia" w:ascii="宋体" w:hAnsi="宋体"/>
          <w:sz w:val="30"/>
          <w:szCs w:val="30"/>
        </w:rPr>
      </w:pPr>
    </w:p>
    <w:p w14:paraId="4999E1C0">
      <w:pPr>
        <w:spacing w:line="360" w:lineRule="auto"/>
        <w:rPr>
          <w:rFonts w:hint="eastAsia" w:ascii="宋体" w:hAnsi="宋体"/>
          <w:sz w:val="30"/>
          <w:szCs w:val="30"/>
        </w:rPr>
      </w:pPr>
      <w:r>
        <w:rPr>
          <w:rFonts w:hint="eastAsia" w:ascii="宋体" w:hAnsi="宋体"/>
          <w:sz w:val="30"/>
          <w:szCs w:val="30"/>
        </w:rPr>
        <w:t>河南中原黄金冶炼厂有限责任公司：</w:t>
      </w:r>
    </w:p>
    <w:p w14:paraId="743CF35C">
      <w:pPr>
        <w:spacing w:line="360" w:lineRule="auto"/>
        <w:rPr>
          <w:rFonts w:hint="eastAsia" w:ascii="宋体" w:hAnsi="宋体"/>
          <w:sz w:val="30"/>
          <w:szCs w:val="30"/>
        </w:rPr>
      </w:pPr>
      <w:r>
        <w:rPr>
          <w:rFonts w:hint="eastAsia" w:ascii="宋体" w:hAnsi="宋体"/>
          <w:sz w:val="30"/>
          <w:szCs w:val="30"/>
        </w:rPr>
        <w:t xml:space="preserve">        </w:t>
      </w:r>
      <w:r>
        <w:rPr>
          <w:rFonts w:hint="eastAsia" w:ascii="宋体" w:hAnsi="宋体"/>
          <w:sz w:val="30"/>
          <w:szCs w:val="30"/>
          <w:u w:val="single"/>
        </w:rPr>
        <w:t xml:space="preserve">  （投标人名称）   </w:t>
      </w:r>
      <w:r>
        <w:rPr>
          <w:rFonts w:hint="eastAsia" w:ascii="宋体" w:hAnsi="宋体"/>
          <w:sz w:val="30"/>
          <w:szCs w:val="30"/>
        </w:rPr>
        <w:t>承诺就河南中原黄金冶炼厂2024年零星土建维修，招标编号</w:t>
      </w:r>
      <w:r>
        <w:rPr>
          <w:rFonts w:hint="eastAsia" w:ascii="宋体" w:hAnsi="宋体"/>
          <w:sz w:val="28"/>
          <w:szCs w:val="28"/>
          <w:u w:val="single"/>
        </w:rPr>
        <w:t>ZYYL-ZB2024110</w:t>
      </w:r>
      <w:r>
        <w:rPr>
          <w:rFonts w:hint="eastAsia" w:ascii="宋体" w:hAnsi="宋体"/>
          <w:sz w:val="30"/>
          <w:szCs w:val="30"/>
        </w:rPr>
        <w:t>，若我公司中标，严格按照施工图纸及要求施工。</w:t>
      </w:r>
    </w:p>
    <w:p w14:paraId="3CBB4A00">
      <w:pPr>
        <w:spacing w:line="360" w:lineRule="auto"/>
        <w:rPr>
          <w:rFonts w:hint="eastAsia"/>
          <w:b/>
          <w:sz w:val="24"/>
        </w:rPr>
      </w:pPr>
    </w:p>
    <w:p w14:paraId="4E4CE45E">
      <w:pPr>
        <w:spacing w:line="360" w:lineRule="auto"/>
        <w:rPr>
          <w:rFonts w:hint="eastAsia"/>
          <w:b/>
          <w:sz w:val="24"/>
        </w:rPr>
      </w:pPr>
    </w:p>
    <w:p w14:paraId="772021DB">
      <w:pPr>
        <w:spacing w:line="360" w:lineRule="auto"/>
        <w:rPr>
          <w:rFonts w:hint="eastAsia"/>
          <w:b/>
          <w:sz w:val="24"/>
        </w:rPr>
      </w:pPr>
    </w:p>
    <w:p w14:paraId="20D4E827">
      <w:pPr>
        <w:spacing w:line="360" w:lineRule="auto"/>
        <w:rPr>
          <w:rFonts w:hint="eastAsia"/>
          <w:b/>
          <w:sz w:val="24"/>
        </w:rPr>
      </w:pPr>
    </w:p>
    <w:p w14:paraId="512C777F">
      <w:pPr>
        <w:spacing w:line="360" w:lineRule="auto"/>
        <w:rPr>
          <w:rFonts w:hint="eastAsia"/>
          <w:b/>
          <w:sz w:val="24"/>
        </w:rPr>
      </w:pPr>
    </w:p>
    <w:p w14:paraId="41B5787E">
      <w:pPr>
        <w:spacing w:line="360" w:lineRule="auto"/>
        <w:rPr>
          <w:rFonts w:hint="eastAsia"/>
          <w:b/>
          <w:sz w:val="24"/>
        </w:rPr>
      </w:pPr>
    </w:p>
    <w:p w14:paraId="11673169">
      <w:pPr>
        <w:spacing w:line="360" w:lineRule="auto"/>
        <w:rPr>
          <w:rFonts w:hint="eastAsia"/>
          <w:b/>
          <w:sz w:val="24"/>
        </w:rPr>
      </w:pPr>
    </w:p>
    <w:p w14:paraId="728954AA">
      <w:pPr>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14:paraId="6506E16D">
      <w:pPr>
        <w:rPr>
          <w:rFonts w:hint="eastAsia" w:ascii="宋体" w:hAnsi="宋体"/>
          <w:sz w:val="30"/>
          <w:szCs w:val="30"/>
        </w:rPr>
      </w:pPr>
      <w:r>
        <w:rPr>
          <w:rFonts w:hint="eastAsia" w:ascii="宋体" w:hAnsi="宋体"/>
          <w:sz w:val="30"/>
          <w:szCs w:val="30"/>
        </w:rPr>
        <w:t xml:space="preserve">                                      </w:t>
      </w:r>
    </w:p>
    <w:p w14:paraId="2F33F28E">
      <w:pPr>
        <w:ind w:firstLine="5550" w:firstLineChars="1850"/>
        <w:rPr>
          <w:rFonts w:hint="eastAsia" w:ascii="宋体" w:hAnsi="宋体"/>
          <w:sz w:val="30"/>
          <w:szCs w:val="30"/>
        </w:rPr>
      </w:pPr>
      <w:r>
        <w:rPr>
          <w:rFonts w:hint="eastAsia" w:ascii="宋体" w:hAnsi="宋体"/>
          <w:sz w:val="30"/>
          <w:szCs w:val="30"/>
        </w:rPr>
        <w:t>2024年  月  日</w:t>
      </w:r>
    </w:p>
    <w:p w14:paraId="6397A180">
      <w:pPr>
        <w:rPr>
          <w:rFonts w:hint="eastAsia"/>
          <w:b/>
          <w:bCs/>
        </w:rPr>
      </w:pPr>
    </w:p>
    <w:p w14:paraId="0026B132">
      <w:pPr>
        <w:tabs>
          <w:tab w:val="left" w:pos="200"/>
          <w:tab w:val="center" w:pos="7286"/>
        </w:tabs>
        <w:spacing w:after="100" w:line="580" w:lineRule="exact"/>
        <w:jc w:val="left"/>
        <w:rPr>
          <w:rFonts w:cs="Arial"/>
          <w:b/>
          <w:bCs/>
          <w:spacing w:val="8"/>
          <w:sz w:val="24"/>
        </w:rPr>
      </w:pPr>
    </w:p>
    <w:p w14:paraId="50D99770">
      <w:pPr>
        <w:tabs>
          <w:tab w:val="left" w:pos="200"/>
          <w:tab w:val="center" w:pos="7286"/>
        </w:tabs>
        <w:spacing w:after="100" w:line="580" w:lineRule="exact"/>
        <w:jc w:val="left"/>
        <w:rPr>
          <w:rFonts w:cs="Arial"/>
          <w:b/>
          <w:bCs/>
          <w:spacing w:val="8"/>
          <w:sz w:val="24"/>
        </w:rPr>
      </w:pPr>
    </w:p>
    <w:p w14:paraId="00FDB614">
      <w:pPr>
        <w:spacing w:after="100" w:line="500" w:lineRule="exact"/>
        <w:ind w:firstLine="560" w:firstLineChars="200"/>
        <w:rPr>
          <w:rFonts w:hint="eastAsia" w:ascii="宋体" w:hAnsi="宋体" w:cs="宋体"/>
          <w:sz w:val="28"/>
          <w:szCs w:val="28"/>
        </w:rPr>
      </w:pPr>
      <w:bookmarkStart w:id="14" w:name="_Toc409429610"/>
      <w:r>
        <w:rPr>
          <w:rFonts w:hint="eastAsia" w:ascii="宋体" w:hAnsi="宋体" w:cs="宋体"/>
          <w:sz w:val="28"/>
          <w:szCs w:val="28"/>
          <w:lang w:bidi="ar"/>
        </w:rPr>
        <w:t xml:space="preserve">                                    </w:t>
      </w:r>
    </w:p>
    <w:p w14:paraId="706957F6">
      <w:pPr>
        <w:pStyle w:val="9"/>
        <w:jc w:val="both"/>
        <w:rPr>
          <w:rFonts w:hint="eastAsia" w:ascii="Times New Roman" w:hAnsi="宋体"/>
        </w:rPr>
      </w:pPr>
    </w:p>
    <w:p w14:paraId="0820609C">
      <w:pPr>
        <w:pStyle w:val="9"/>
        <w:jc w:val="both"/>
        <w:rPr>
          <w:rFonts w:hint="eastAsia" w:ascii="Times New Roman" w:hAnsi="宋体"/>
        </w:rPr>
      </w:pPr>
    </w:p>
    <w:p w14:paraId="3523E43B">
      <w:pPr>
        <w:pStyle w:val="9"/>
        <w:jc w:val="both"/>
        <w:rPr>
          <w:rFonts w:hint="eastAsia" w:ascii="Times New Roman" w:hAnsi="宋体"/>
        </w:rPr>
      </w:pPr>
    </w:p>
    <w:p w14:paraId="716A33F4">
      <w:pPr>
        <w:pStyle w:val="9"/>
        <w:jc w:val="both"/>
        <w:rPr>
          <w:rFonts w:hint="eastAsia" w:ascii="Times New Roman" w:hAnsi="宋体"/>
        </w:rPr>
      </w:pPr>
    </w:p>
    <w:p w14:paraId="5BBA50EE">
      <w:pPr>
        <w:pStyle w:val="9"/>
        <w:jc w:val="both"/>
        <w:rPr>
          <w:rFonts w:hint="eastAsia" w:ascii="Times New Roman" w:hAnsi="宋体"/>
        </w:rPr>
      </w:pPr>
    </w:p>
    <w:p w14:paraId="08C0F8E6">
      <w:pPr>
        <w:pStyle w:val="9"/>
        <w:jc w:val="both"/>
        <w:rPr>
          <w:rFonts w:hint="eastAsia" w:ascii="Times New Roman" w:hAnsi="Times New Roman"/>
        </w:rPr>
      </w:pPr>
      <w:bookmarkStart w:id="15" w:name="_Toc3957"/>
      <w:r>
        <w:rPr>
          <w:rFonts w:hint="eastAsia" w:ascii="Times New Roman" w:hAnsi="宋体"/>
        </w:rPr>
        <w:t>附件</w:t>
      </w:r>
      <w:bookmarkEnd w:id="14"/>
      <w:r>
        <w:rPr>
          <w:rFonts w:hint="eastAsia" w:ascii="Times New Roman" w:hAnsi="宋体"/>
        </w:rPr>
        <w:t>六</w:t>
      </w:r>
      <w:bookmarkEnd w:id="15"/>
    </w:p>
    <w:p w14:paraId="747014F5">
      <w:pPr>
        <w:pStyle w:val="9"/>
        <w:rPr>
          <w:rFonts w:hint="eastAsia"/>
          <w:sz w:val="44"/>
          <w:szCs w:val="44"/>
        </w:rPr>
      </w:pPr>
      <w:bookmarkStart w:id="16" w:name="_Toc11457"/>
      <w:r>
        <w:rPr>
          <w:rFonts w:hint="eastAsia"/>
          <w:sz w:val="44"/>
          <w:szCs w:val="44"/>
        </w:rPr>
        <w:t>合     同</w:t>
      </w:r>
      <w:bookmarkEnd w:id="16"/>
    </w:p>
    <w:p w14:paraId="7CB8FD13">
      <w:pPr>
        <w:jc w:val="center"/>
        <w:rPr>
          <w:rFonts w:hint="eastAsia" w:ascii="宋体" w:hAnsi="宋体"/>
          <w:b/>
          <w:bCs/>
          <w:sz w:val="10"/>
          <w:szCs w:val="10"/>
        </w:rPr>
      </w:pPr>
    </w:p>
    <w:p w14:paraId="61308A2F">
      <w:pPr>
        <w:adjustRightInd w:val="0"/>
        <w:snapToGrid w:val="0"/>
        <w:spacing w:line="360" w:lineRule="auto"/>
        <w:rPr>
          <w:rFonts w:hint="eastAsia" w:ascii="宋体" w:hAnsi="宋体"/>
          <w:sz w:val="28"/>
          <w:szCs w:val="28"/>
        </w:rPr>
      </w:pPr>
      <w:r>
        <w:rPr>
          <w:rFonts w:hint="eastAsia" w:ascii="宋体" w:hAnsi="宋体"/>
          <w:sz w:val="28"/>
          <w:szCs w:val="28"/>
        </w:rPr>
        <w:t xml:space="preserve">甲方：河南中原黄金冶炼厂有限责任公司       </w:t>
      </w:r>
    </w:p>
    <w:p w14:paraId="53CF6218">
      <w:pPr>
        <w:adjustRightInd w:val="0"/>
        <w:snapToGrid w:val="0"/>
        <w:spacing w:line="360" w:lineRule="auto"/>
        <w:rPr>
          <w:rFonts w:hint="eastAsia" w:ascii="宋体" w:hAnsi="宋体"/>
          <w:sz w:val="28"/>
          <w:szCs w:val="28"/>
        </w:rPr>
      </w:pPr>
      <w:r>
        <w:rPr>
          <w:rFonts w:hint="eastAsia" w:ascii="宋体" w:hAnsi="宋体"/>
          <w:sz w:val="28"/>
          <w:szCs w:val="28"/>
        </w:rPr>
        <w:t xml:space="preserve">乙方：         </w:t>
      </w:r>
    </w:p>
    <w:p w14:paraId="4824916B">
      <w:pPr>
        <w:numPr>
          <w:ilvl w:val="0"/>
          <w:numId w:val="1"/>
        </w:numPr>
        <w:adjustRightInd w:val="0"/>
        <w:snapToGrid w:val="0"/>
        <w:spacing w:line="360" w:lineRule="auto"/>
        <w:rPr>
          <w:rFonts w:hint="eastAsia" w:ascii="宋体" w:hAnsi="宋体"/>
          <w:sz w:val="28"/>
          <w:szCs w:val="28"/>
        </w:rPr>
      </w:pPr>
      <w:r>
        <w:rPr>
          <w:rFonts w:hint="eastAsia" w:ascii="宋体" w:hAnsi="宋体"/>
          <w:sz w:val="28"/>
          <w:szCs w:val="28"/>
        </w:rPr>
        <w:t>依照《中华人民共和国民法典》及其他有关法律、行政法规、遵循平等、自愿、公平和诚实信用的原则，双方就河南中原黄金冶炼厂有限责任公司零星土建维修工程施工事宜协商一致，订立本合同。</w:t>
      </w:r>
    </w:p>
    <w:p w14:paraId="3DC9BBBF">
      <w:pPr>
        <w:numPr>
          <w:ilvl w:val="0"/>
          <w:numId w:val="1"/>
        </w:numPr>
        <w:adjustRightInd w:val="0"/>
        <w:snapToGrid w:val="0"/>
        <w:spacing w:line="360" w:lineRule="auto"/>
        <w:rPr>
          <w:rFonts w:hint="eastAsia" w:ascii="宋体" w:hAnsi="宋体"/>
          <w:sz w:val="28"/>
          <w:szCs w:val="28"/>
        </w:rPr>
      </w:pPr>
      <w:r>
        <w:rPr>
          <w:rFonts w:hint="eastAsia" w:ascii="宋体" w:hAnsi="宋体"/>
          <w:sz w:val="28"/>
          <w:szCs w:val="28"/>
        </w:rPr>
        <w:t>工程地点</w:t>
      </w:r>
      <w:r>
        <w:rPr>
          <w:rFonts w:hint="eastAsia" w:ascii="宋体" w:hAnsi="宋体"/>
          <w:sz w:val="28"/>
          <w:szCs w:val="28"/>
          <w:lang w:val="zh-CN"/>
        </w:rPr>
        <w:t>：</w:t>
      </w:r>
      <w:r>
        <w:rPr>
          <w:rFonts w:hint="eastAsia" w:ascii="宋体" w:hAnsi="宋体"/>
          <w:sz w:val="28"/>
          <w:szCs w:val="28"/>
        </w:rPr>
        <w:t>河南中原黄金冶炼厂有限责任公司</w:t>
      </w:r>
    </w:p>
    <w:p w14:paraId="4D99FC3E">
      <w:pPr>
        <w:adjustRightInd w:val="0"/>
        <w:snapToGrid w:val="0"/>
        <w:spacing w:line="360" w:lineRule="auto"/>
        <w:rPr>
          <w:rFonts w:hint="eastAsia" w:ascii="宋体" w:hAnsi="宋体"/>
          <w:sz w:val="28"/>
          <w:szCs w:val="28"/>
          <w:lang w:val="zh-CN"/>
        </w:rPr>
      </w:pPr>
      <w:r>
        <w:rPr>
          <w:rFonts w:hint="eastAsia" w:ascii="宋体" w:hAnsi="宋体"/>
          <w:sz w:val="28"/>
          <w:szCs w:val="28"/>
          <w:lang w:val="zh-CN"/>
        </w:rPr>
        <w:t>三、工程内容及要求：</w:t>
      </w:r>
    </w:p>
    <w:p w14:paraId="4D314A84">
      <w:pPr>
        <w:autoSpaceDE w:val="0"/>
        <w:autoSpaceDN w:val="0"/>
        <w:adjustRightInd w:val="0"/>
        <w:spacing w:line="360" w:lineRule="auto"/>
        <w:rPr>
          <w:rFonts w:hint="eastAsia" w:ascii="宋体" w:hAnsi="宋体"/>
          <w:sz w:val="24"/>
          <w:szCs w:val="24"/>
          <w:lang w:val="zh-CN"/>
        </w:rPr>
      </w:pPr>
      <w:r>
        <w:rPr>
          <w:rFonts w:hint="eastAsia" w:ascii="宋体" w:hAnsi="宋体"/>
          <w:sz w:val="28"/>
          <w:szCs w:val="28"/>
        </w:rPr>
        <w:t xml:space="preserve">  3.1 </w:t>
      </w:r>
      <w:r>
        <w:rPr>
          <w:rFonts w:hint="eastAsia" w:ascii="宋体" w:hAnsi="宋体"/>
          <w:sz w:val="28"/>
          <w:szCs w:val="28"/>
          <w:lang w:val="zh-CN"/>
        </w:rPr>
        <w:t>内容：</w:t>
      </w:r>
    </w:p>
    <w:p w14:paraId="642FB4EC">
      <w:pPr>
        <w:autoSpaceDE w:val="0"/>
        <w:autoSpaceDN w:val="0"/>
        <w:adjustRightInd w:val="0"/>
        <w:spacing w:line="360" w:lineRule="auto"/>
        <w:ind w:firstLine="218" w:firstLineChars="78"/>
        <w:rPr>
          <w:rFonts w:hint="eastAsia" w:ascii="宋体" w:hAnsi="宋体"/>
          <w:sz w:val="28"/>
          <w:szCs w:val="28"/>
        </w:rPr>
      </w:pPr>
      <w:r>
        <w:rPr>
          <w:rFonts w:hint="eastAsia" w:ascii="宋体" w:hAnsi="宋体"/>
          <w:sz w:val="28"/>
          <w:szCs w:val="28"/>
        </w:rPr>
        <w:t>1、</w:t>
      </w:r>
      <w:r>
        <w:rPr>
          <w:rFonts w:hint="eastAsia" w:ascii="宋体"/>
          <w:sz w:val="28"/>
          <w:lang w:val="zh-CN"/>
        </w:rPr>
        <w:t>河南中原黄金冶炼厂有限责任公司</w:t>
      </w:r>
      <w:r>
        <w:rPr>
          <w:rFonts w:hint="eastAsia" w:ascii="宋体" w:hAnsi="宋体"/>
          <w:sz w:val="28"/>
          <w:szCs w:val="28"/>
        </w:rPr>
        <w:t xml:space="preserve">零星土建维修； </w:t>
      </w:r>
    </w:p>
    <w:p w14:paraId="2A6AD4D0">
      <w:pPr>
        <w:autoSpaceDE w:val="0"/>
        <w:autoSpaceDN w:val="0"/>
        <w:adjustRightInd w:val="0"/>
        <w:spacing w:line="360" w:lineRule="auto"/>
        <w:ind w:firstLine="218" w:firstLineChars="78"/>
        <w:rPr>
          <w:rFonts w:hint="eastAsia" w:ascii="宋体" w:hAnsi="宋体"/>
          <w:sz w:val="28"/>
          <w:szCs w:val="28"/>
        </w:rPr>
      </w:pPr>
      <w:r>
        <w:rPr>
          <w:rFonts w:hint="eastAsia" w:ascii="宋体" w:hAnsi="宋体"/>
          <w:sz w:val="28"/>
          <w:szCs w:val="28"/>
        </w:rPr>
        <w:t>2、包工包料，如甲方提供材料在验收单上注明。</w:t>
      </w:r>
    </w:p>
    <w:p w14:paraId="7479C49C">
      <w:pPr>
        <w:autoSpaceDE w:val="0"/>
        <w:autoSpaceDN w:val="0"/>
        <w:adjustRightInd w:val="0"/>
        <w:spacing w:line="360" w:lineRule="auto"/>
        <w:ind w:firstLine="218" w:firstLineChars="78"/>
        <w:rPr>
          <w:rFonts w:hint="eastAsia" w:ascii="宋体" w:hAnsi="宋体"/>
          <w:sz w:val="28"/>
          <w:szCs w:val="28"/>
        </w:rPr>
      </w:pPr>
      <w:r>
        <w:rPr>
          <w:rFonts w:hint="eastAsia" w:ascii="宋体" w:hAnsi="宋体"/>
          <w:sz w:val="28"/>
          <w:szCs w:val="28"/>
        </w:rPr>
        <w:t>3.2 要求：</w:t>
      </w:r>
    </w:p>
    <w:p w14:paraId="25DDE362">
      <w:pPr>
        <w:autoSpaceDE w:val="0"/>
        <w:autoSpaceDN w:val="0"/>
        <w:adjustRightInd w:val="0"/>
        <w:spacing w:line="360" w:lineRule="auto"/>
        <w:ind w:firstLine="218" w:firstLineChars="78"/>
        <w:rPr>
          <w:rFonts w:hint="eastAsia" w:ascii="宋体" w:hAnsi="宋体"/>
          <w:sz w:val="28"/>
          <w:szCs w:val="28"/>
        </w:rPr>
      </w:pPr>
      <w:r>
        <w:rPr>
          <w:rFonts w:hint="eastAsia" w:ascii="宋体" w:hAnsi="宋体"/>
          <w:sz w:val="28"/>
          <w:szCs w:val="28"/>
        </w:rPr>
        <w:t>1、工程根据施工图纸及要求完成，验收需在完工后3天内进行，施工中有隐蔽工程的应及时验收，没有经过验收视为不合格，验收由提出施工申请单位、任务委托单位、施工单位共同对完成工程量进行验收，以验收合格的工程量做为结算依据；</w:t>
      </w:r>
    </w:p>
    <w:p w14:paraId="7D9389EB">
      <w:pPr>
        <w:autoSpaceDE w:val="0"/>
        <w:autoSpaceDN w:val="0"/>
        <w:adjustRightInd w:val="0"/>
        <w:spacing w:line="360" w:lineRule="auto"/>
        <w:ind w:firstLine="218" w:firstLineChars="78"/>
        <w:rPr>
          <w:rFonts w:hint="eastAsia" w:ascii="宋体" w:hAnsi="宋体"/>
          <w:sz w:val="28"/>
          <w:szCs w:val="28"/>
        </w:rPr>
      </w:pPr>
      <w:r>
        <w:rPr>
          <w:rFonts w:hint="eastAsia" w:ascii="宋体" w:hAnsi="宋体"/>
          <w:sz w:val="28"/>
          <w:szCs w:val="28"/>
        </w:rPr>
        <w:t>2、结算依据《河南省建设工程工程量清单综合单价（2008）》计算，执行（三门峡工程造价信息）发布价，如有缺项参照《河南省工程造价信息》发布价，以上定额均无参考子项的项目，由建设单位参考其他行业有关标准编制综合估价表，双方确认批准后使用。人工费、材料费调整以河南省三门峡市建设项目造价管理部门发布文件为准。</w:t>
      </w:r>
    </w:p>
    <w:p w14:paraId="7F397C4F">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3、必须符合《建筑工程施工质量验收统一标准GB50300-2018》；符合相关工程质量验收规范；</w:t>
      </w:r>
    </w:p>
    <w:p w14:paraId="1E826AB1">
      <w:pPr>
        <w:tabs>
          <w:tab w:val="left" w:pos="-1050"/>
        </w:tabs>
        <w:suppressAutoHyphens/>
        <w:adjustRightInd w:val="0"/>
        <w:spacing w:line="360" w:lineRule="auto"/>
        <w:ind w:firstLine="560" w:firstLineChars="200"/>
        <w:jc w:val="left"/>
        <w:rPr>
          <w:rFonts w:hint="eastAsia" w:ascii="宋体" w:hAnsi="宋体"/>
          <w:sz w:val="28"/>
          <w:szCs w:val="28"/>
        </w:rPr>
      </w:pPr>
      <w:r>
        <w:rPr>
          <w:rFonts w:hint="eastAsia" w:ascii="宋体" w:hAnsi="宋体"/>
          <w:sz w:val="28"/>
          <w:szCs w:val="28"/>
        </w:rPr>
        <w:t>4、现场文明施工，厂内不得存放垃圾，必须及时运出厂外，清理和运输时必须符合环保单位要求，如不符合规定，出现一切问题由乙方承担并处罚1000元/次；</w:t>
      </w:r>
    </w:p>
    <w:p w14:paraId="2D5DCEB1">
      <w:pPr>
        <w:tabs>
          <w:tab w:val="left" w:pos="-1050"/>
        </w:tabs>
        <w:suppressAutoHyphens/>
        <w:adjustRightInd w:val="0"/>
        <w:spacing w:line="360" w:lineRule="auto"/>
        <w:ind w:firstLine="560" w:firstLineChars="200"/>
        <w:jc w:val="left"/>
        <w:rPr>
          <w:rFonts w:hint="eastAsia" w:ascii="宋体" w:hAnsi="宋体"/>
          <w:sz w:val="28"/>
          <w:szCs w:val="28"/>
        </w:rPr>
      </w:pPr>
      <w:r>
        <w:rPr>
          <w:rFonts w:hint="eastAsia" w:ascii="宋体" w:hAnsi="宋体"/>
          <w:sz w:val="28"/>
          <w:szCs w:val="28"/>
        </w:rPr>
        <w:t>5、施工</w:t>
      </w:r>
      <w:r>
        <w:rPr>
          <w:rFonts w:ascii="宋体" w:hAnsi="宋体"/>
          <w:sz w:val="28"/>
          <w:szCs w:val="28"/>
        </w:rPr>
        <w:t>工期必须满足</w:t>
      </w:r>
      <w:r>
        <w:rPr>
          <w:rFonts w:hint="eastAsia" w:ascii="宋体" w:hAnsi="宋体"/>
          <w:sz w:val="28"/>
          <w:szCs w:val="28"/>
        </w:rPr>
        <w:t>任务</w:t>
      </w:r>
      <w:r>
        <w:rPr>
          <w:rFonts w:ascii="宋体" w:hAnsi="宋体"/>
          <w:sz w:val="28"/>
          <w:szCs w:val="28"/>
        </w:rPr>
        <w:t>委托单位的工期要求</w:t>
      </w:r>
      <w:r>
        <w:rPr>
          <w:rFonts w:hint="eastAsia" w:ascii="宋体" w:hAnsi="宋体"/>
          <w:sz w:val="28"/>
          <w:szCs w:val="28"/>
        </w:rPr>
        <w:t>，施工</w:t>
      </w:r>
      <w:r>
        <w:rPr>
          <w:rFonts w:ascii="宋体" w:hAnsi="宋体"/>
          <w:sz w:val="28"/>
          <w:szCs w:val="28"/>
        </w:rPr>
        <w:t>人</w:t>
      </w:r>
      <w:r>
        <w:rPr>
          <w:rFonts w:hint="eastAsia" w:ascii="宋体" w:hAnsi="宋体"/>
          <w:sz w:val="28"/>
          <w:szCs w:val="28"/>
        </w:rPr>
        <w:t>员</w:t>
      </w:r>
      <w:r>
        <w:rPr>
          <w:rFonts w:ascii="宋体" w:hAnsi="宋体"/>
          <w:sz w:val="28"/>
          <w:szCs w:val="28"/>
        </w:rPr>
        <w:t>根据工程量的情况及时调整，随时满足工期要求</w:t>
      </w:r>
      <w:r>
        <w:rPr>
          <w:rFonts w:hint="eastAsia" w:ascii="宋体" w:hAnsi="宋体"/>
          <w:sz w:val="28"/>
          <w:szCs w:val="28"/>
        </w:rPr>
        <w:t>，且不能因施工难度大，增加工程量，如</w:t>
      </w:r>
      <w:r>
        <w:rPr>
          <w:rFonts w:ascii="宋体" w:hAnsi="宋体"/>
          <w:sz w:val="28"/>
          <w:szCs w:val="28"/>
        </w:rPr>
        <w:t>施工工期</w:t>
      </w:r>
      <w:r>
        <w:rPr>
          <w:rFonts w:hint="eastAsia" w:ascii="宋体" w:hAnsi="宋体"/>
          <w:sz w:val="28"/>
          <w:szCs w:val="28"/>
        </w:rPr>
        <w:t>不能满足要求，超出要求工期每天罚款500元，紧急抢修或其他突发情况，奖惩措施协商再定；</w:t>
      </w:r>
    </w:p>
    <w:p w14:paraId="6A117788">
      <w:pPr>
        <w:tabs>
          <w:tab w:val="left" w:pos="-1050"/>
        </w:tabs>
        <w:suppressAutoHyphens/>
        <w:adjustRightInd w:val="0"/>
        <w:spacing w:line="360" w:lineRule="auto"/>
        <w:ind w:firstLine="560" w:firstLineChars="200"/>
        <w:jc w:val="left"/>
        <w:rPr>
          <w:rFonts w:hint="eastAsia" w:ascii="宋体" w:hAnsi="宋体"/>
          <w:sz w:val="28"/>
          <w:szCs w:val="28"/>
        </w:rPr>
      </w:pPr>
      <w:r>
        <w:rPr>
          <w:rFonts w:hint="eastAsia" w:ascii="宋体" w:hAnsi="宋体"/>
          <w:sz w:val="28"/>
          <w:szCs w:val="28"/>
        </w:rPr>
        <w:t>6、施工质量保修期1年；</w:t>
      </w:r>
    </w:p>
    <w:p w14:paraId="579F7F20">
      <w:pPr>
        <w:tabs>
          <w:tab w:val="left" w:pos="-1050"/>
        </w:tabs>
        <w:suppressAutoHyphens/>
        <w:adjustRightInd w:val="0"/>
        <w:spacing w:line="360" w:lineRule="auto"/>
        <w:ind w:firstLine="560" w:firstLineChars="200"/>
        <w:jc w:val="left"/>
        <w:rPr>
          <w:rFonts w:hint="eastAsia" w:ascii="宋体" w:hAnsi="宋体"/>
          <w:sz w:val="28"/>
          <w:szCs w:val="28"/>
        </w:rPr>
      </w:pPr>
      <w:r>
        <w:rPr>
          <w:rFonts w:hint="eastAsia" w:ascii="宋体" w:hAnsi="宋体"/>
          <w:sz w:val="28"/>
          <w:szCs w:val="28"/>
        </w:rPr>
        <w:t>7、</w:t>
      </w:r>
      <w:r>
        <w:rPr>
          <w:rFonts w:hint="eastAsia" w:ascii="宋体" w:hAnsi="宋体"/>
          <w:sz w:val="28"/>
          <w:szCs w:val="28"/>
          <w:lang w:val="zh-CN"/>
        </w:rPr>
        <w:t>接受现场管理人员的监督。</w:t>
      </w:r>
    </w:p>
    <w:p w14:paraId="34282671">
      <w:pPr>
        <w:autoSpaceDE w:val="0"/>
        <w:autoSpaceDN w:val="0"/>
        <w:adjustRightInd w:val="0"/>
        <w:spacing w:line="520" w:lineRule="exact"/>
        <w:ind w:firstLine="218" w:firstLineChars="78"/>
        <w:rPr>
          <w:rFonts w:hint="eastAsia" w:ascii="宋体" w:hAnsi="宋体"/>
          <w:sz w:val="28"/>
          <w:szCs w:val="28"/>
          <w:lang w:val="zh-CN"/>
        </w:rPr>
      </w:pPr>
      <w:r>
        <w:rPr>
          <w:rFonts w:hint="eastAsia" w:ascii="宋体" w:hAnsi="宋体"/>
          <w:sz w:val="28"/>
          <w:szCs w:val="28"/>
        </w:rPr>
        <w:t>四、合同有效期：1年，以双方签订合同日期为准。</w:t>
      </w:r>
    </w:p>
    <w:p w14:paraId="71B436A0">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五、合同价款计算及付款方式：</w:t>
      </w:r>
    </w:p>
    <w:p w14:paraId="4A985979">
      <w:pPr>
        <w:autoSpaceDE w:val="0"/>
        <w:autoSpaceDN w:val="0"/>
        <w:adjustRightInd w:val="0"/>
        <w:spacing w:line="520" w:lineRule="exact"/>
        <w:ind w:firstLine="218" w:firstLineChars="78"/>
        <w:rPr>
          <w:rFonts w:hint="eastAsia" w:ascii="宋体" w:hAnsi="宋体"/>
          <w:sz w:val="28"/>
          <w:szCs w:val="28"/>
          <w:lang w:val="zh-CN"/>
        </w:rPr>
      </w:pPr>
      <w:r>
        <w:rPr>
          <w:rFonts w:hint="eastAsia" w:ascii="宋体" w:hAnsi="宋体"/>
          <w:sz w:val="28"/>
          <w:szCs w:val="28"/>
        </w:rPr>
        <w:t>1、</w:t>
      </w:r>
      <w:r>
        <w:rPr>
          <w:rFonts w:hint="eastAsia" w:ascii="宋体" w:hAnsi="宋体"/>
          <w:sz w:val="28"/>
          <w:szCs w:val="28"/>
          <w:lang w:val="zh-CN"/>
        </w:rPr>
        <w:t>合同价款：</w:t>
      </w:r>
      <w:r>
        <w:rPr>
          <w:rFonts w:hint="eastAsia" w:ascii="宋体" w:hAnsi="宋体"/>
          <w:sz w:val="28"/>
          <w:szCs w:val="28"/>
        </w:rPr>
        <w:t>结算价下浮百分率（    %）。</w:t>
      </w:r>
    </w:p>
    <w:p w14:paraId="560179B2">
      <w:pPr>
        <w:autoSpaceDE w:val="0"/>
        <w:autoSpaceDN w:val="0"/>
        <w:adjustRightInd w:val="0"/>
        <w:spacing w:line="520" w:lineRule="exact"/>
        <w:ind w:firstLine="218" w:firstLineChars="78"/>
        <w:rPr>
          <w:rFonts w:hint="eastAsia" w:ascii="宋体" w:hAnsi="宋体"/>
          <w:sz w:val="28"/>
          <w:szCs w:val="28"/>
          <w:lang w:val="zh-CN"/>
        </w:rPr>
      </w:pPr>
      <w:r>
        <w:rPr>
          <w:rFonts w:hint="eastAsia" w:ascii="宋体" w:hAnsi="宋体"/>
          <w:sz w:val="28"/>
          <w:szCs w:val="28"/>
        </w:rPr>
        <w:t>2、</w:t>
      </w:r>
      <w:r>
        <w:rPr>
          <w:rFonts w:hint="eastAsia" w:ascii="宋体" w:hAnsi="宋体"/>
          <w:sz w:val="28"/>
          <w:szCs w:val="28"/>
          <w:lang w:val="zh-CN"/>
        </w:rPr>
        <w:t>付款方式：按月结算，以验收合格的工程结算为准，结算价下浮（</w:t>
      </w:r>
      <w:r>
        <w:rPr>
          <w:rFonts w:hint="eastAsia" w:ascii="宋体" w:hAnsi="宋体"/>
          <w:sz w:val="28"/>
          <w:szCs w:val="28"/>
        </w:rPr>
        <w:t xml:space="preserve">  %</w:t>
      </w:r>
      <w:r>
        <w:rPr>
          <w:rFonts w:hint="eastAsia" w:ascii="宋体" w:hAnsi="宋体"/>
          <w:sz w:val="28"/>
          <w:szCs w:val="28"/>
          <w:lang w:val="zh-CN"/>
        </w:rPr>
        <w:t>）经审计后付结算款的</w:t>
      </w:r>
      <w:r>
        <w:rPr>
          <w:rFonts w:hint="eastAsia" w:ascii="宋体" w:hAnsi="宋体"/>
          <w:sz w:val="28"/>
          <w:szCs w:val="28"/>
        </w:rPr>
        <w:t>97%</w:t>
      </w:r>
      <w:r>
        <w:rPr>
          <w:rFonts w:hint="eastAsia" w:ascii="宋体" w:hAnsi="宋体"/>
          <w:sz w:val="28"/>
          <w:szCs w:val="28"/>
          <w:lang w:val="zh-CN"/>
        </w:rPr>
        <w:t>，预留</w:t>
      </w:r>
      <w:r>
        <w:rPr>
          <w:rFonts w:hint="eastAsia" w:ascii="宋体" w:hAnsi="宋体"/>
          <w:sz w:val="28"/>
          <w:szCs w:val="28"/>
        </w:rPr>
        <w:t>3%质保金，</w:t>
      </w:r>
      <w:r>
        <w:rPr>
          <w:rFonts w:hint="eastAsia" w:ascii="宋体" w:hAnsi="宋体"/>
          <w:sz w:val="28"/>
          <w:szCs w:val="28"/>
          <w:lang w:val="zh-CN"/>
        </w:rPr>
        <w:t>1年后无质量问题一次性支付，</w:t>
      </w:r>
    </w:p>
    <w:p w14:paraId="373637EF">
      <w:pPr>
        <w:autoSpaceDE w:val="0"/>
        <w:autoSpaceDN w:val="0"/>
        <w:adjustRightInd w:val="0"/>
        <w:spacing w:line="520" w:lineRule="exact"/>
        <w:ind w:firstLine="218" w:firstLineChars="78"/>
        <w:rPr>
          <w:rFonts w:hint="eastAsia" w:ascii="宋体" w:hAnsi="宋体"/>
          <w:sz w:val="28"/>
          <w:szCs w:val="28"/>
          <w:lang w:val="zh-CN"/>
        </w:rPr>
      </w:pPr>
      <w:r>
        <w:rPr>
          <w:rFonts w:hint="eastAsia" w:ascii="宋体" w:hAnsi="宋体"/>
          <w:sz w:val="28"/>
          <w:szCs w:val="28"/>
        </w:rPr>
        <w:t>3、不含税价格和税额允许与发票金额有系统误差，如适用税率有所变化，该合同按照不含税价格×（1+适用税率）自动顺延，</w:t>
      </w:r>
      <w:r>
        <w:rPr>
          <w:rFonts w:hint="eastAsia" w:ascii="宋体" w:hAnsi="宋体"/>
          <w:sz w:val="28"/>
          <w:szCs w:val="28"/>
          <w:lang w:val="zh-CN"/>
        </w:rPr>
        <w:t>付款前开具</w:t>
      </w:r>
      <w:r>
        <w:rPr>
          <w:rFonts w:hint="eastAsia" w:ascii="宋体" w:hAnsi="宋体"/>
          <w:sz w:val="28"/>
          <w:szCs w:val="28"/>
          <w:u w:val="single"/>
        </w:rPr>
        <w:t xml:space="preserve">  </w:t>
      </w:r>
      <w:r>
        <w:rPr>
          <w:rFonts w:hint="eastAsia" w:ascii="宋体" w:hAnsi="宋体"/>
          <w:sz w:val="28"/>
          <w:szCs w:val="28"/>
        </w:rPr>
        <w:t>%</w:t>
      </w:r>
      <w:r>
        <w:rPr>
          <w:rFonts w:hint="eastAsia" w:ascii="宋体" w:hAnsi="宋体"/>
          <w:sz w:val="28"/>
          <w:szCs w:val="28"/>
          <w:lang w:val="zh-CN"/>
        </w:rPr>
        <w:t>全额增值税专用发票。</w:t>
      </w:r>
    </w:p>
    <w:p w14:paraId="3F501B58">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六、质量要求：</w:t>
      </w:r>
    </w:p>
    <w:p w14:paraId="6FE7B893">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 xml:space="preserve">1、乙方在施工中应主动接受甲方管理人员的检查，对甲方人员提出的问题要及时整改，否则甲方代表有权责令其停工； </w:t>
      </w:r>
    </w:p>
    <w:p w14:paraId="68689B62">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 xml:space="preserve">  2、乙方对施工中存在的不合格现象要及时返工，直至合格，返工的费用由乙方承担；</w:t>
      </w:r>
    </w:p>
    <w:p w14:paraId="5CC8564F">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3、乙方必须严格执行建筑工程施工验收规范，严格按照要求施工，甲方一次性进行验收，</w:t>
      </w:r>
      <w:r>
        <w:rPr>
          <w:rFonts w:ascii="宋体" w:hAnsi="宋体"/>
          <w:sz w:val="28"/>
          <w:szCs w:val="28"/>
        </w:rPr>
        <w:t>如</w:t>
      </w:r>
      <w:r>
        <w:rPr>
          <w:rFonts w:hint="eastAsia" w:ascii="宋体" w:hAnsi="宋体"/>
          <w:sz w:val="28"/>
          <w:szCs w:val="28"/>
        </w:rPr>
        <w:t>工程质量发现问题，要及时整改，直至合格，返工的费用由乙方承担，如再不合格，一切损失由乙方承担，并每次罚款1000元，</w:t>
      </w:r>
    </w:p>
    <w:p w14:paraId="6C2138F6">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七、安全要求：</w:t>
      </w:r>
    </w:p>
    <w:p w14:paraId="0B3A2597">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1、乙方在进入用工现场时应对现场安全条件进行检查确认，及时排除安全隐患，施工中若出现安全事故按照法律规定乙方应及时处理，甲方给予配合；</w:t>
      </w:r>
    </w:p>
    <w:p w14:paraId="1D21A064">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2、操作人员上岗，必须按规定佩戴安全帽及安全带等防护用品，项目经理和专职安全员应随时检查劳动防护用品的穿戴情况，不按规定穿戴防护用品的人员不得上岗；</w:t>
      </w:r>
    </w:p>
    <w:p w14:paraId="36C6F45A">
      <w:pPr>
        <w:autoSpaceDE w:val="0"/>
        <w:autoSpaceDN w:val="0"/>
        <w:adjustRightInd w:val="0"/>
        <w:spacing w:line="520" w:lineRule="exact"/>
        <w:ind w:firstLine="218" w:firstLineChars="78"/>
        <w:rPr>
          <w:rFonts w:hint="eastAsia" w:ascii="宋体" w:hAnsi="宋体"/>
          <w:sz w:val="28"/>
          <w:szCs w:val="28"/>
        </w:rPr>
      </w:pPr>
      <w:r>
        <w:rPr>
          <w:rFonts w:ascii="宋体" w:hAnsi="宋体"/>
          <w:sz w:val="28"/>
          <w:szCs w:val="28"/>
        </w:rPr>
        <w:t>3</w:t>
      </w:r>
      <w:r>
        <w:rPr>
          <w:rFonts w:hint="eastAsia" w:ascii="宋体" w:hAnsi="宋体"/>
          <w:sz w:val="28"/>
          <w:szCs w:val="28"/>
        </w:rPr>
        <w:t>、所有机具设备和高处作业的设备均应定期检查，并有安全员的签名记录，保证其经常处于完好状态，不合格的机具、设备和劳动保护用品严禁使用；</w:t>
      </w:r>
    </w:p>
    <w:p w14:paraId="028CD030">
      <w:pPr>
        <w:autoSpaceDE w:val="0"/>
        <w:autoSpaceDN w:val="0"/>
        <w:adjustRightInd w:val="0"/>
        <w:spacing w:line="520" w:lineRule="exact"/>
        <w:ind w:firstLine="218" w:firstLineChars="78"/>
        <w:rPr>
          <w:rFonts w:hint="eastAsia" w:ascii="宋体" w:hAnsi="宋体"/>
          <w:sz w:val="28"/>
          <w:szCs w:val="28"/>
        </w:rPr>
      </w:pPr>
      <w:r>
        <w:rPr>
          <w:rFonts w:ascii="宋体" w:hAnsi="宋体"/>
          <w:sz w:val="28"/>
          <w:szCs w:val="28"/>
        </w:rPr>
        <w:t>4</w:t>
      </w:r>
      <w:r>
        <w:rPr>
          <w:rFonts w:hint="eastAsia" w:ascii="宋体" w:hAnsi="宋体"/>
          <w:sz w:val="28"/>
          <w:szCs w:val="28"/>
        </w:rPr>
        <w:t>、必须按照本合同特点，制定安全事故应急求援预案；如果发生安全事故，应按照《安全管理条例》的有关规定上报有关部门，并按照“四不放过”的原则调查处理；</w:t>
      </w:r>
    </w:p>
    <w:p w14:paraId="67B8BA6A">
      <w:pPr>
        <w:autoSpaceDE w:val="0"/>
        <w:autoSpaceDN w:val="0"/>
        <w:adjustRightInd w:val="0"/>
        <w:spacing w:line="520" w:lineRule="exact"/>
        <w:ind w:firstLine="218" w:firstLineChars="78"/>
        <w:rPr>
          <w:rFonts w:ascii="宋体" w:hAnsi="宋体"/>
          <w:sz w:val="28"/>
          <w:szCs w:val="28"/>
        </w:rPr>
      </w:pPr>
      <w:r>
        <w:rPr>
          <w:rFonts w:hint="eastAsia" w:ascii="宋体" w:hAnsi="宋体"/>
          <w:sz w:val="28"/>
          <w:szCs w:val="28"/>
        </w:rPr>
        <w:t>5、施工方应对自己的劳务人员加强管理、进行安全教育，安全培训，不合格人员严禁上岗，严禁施工方拖欠工人工资等不合规行为，因施工方管理及履约不善或人员安全问题，造成我司被连带诉讼的，所产生的诉代理费、差旅费等其它所有费用支出由施工方双倍承担(即：我司发生的费用由施工方全额承担外，另外多承担的一倍费用为：因施工方管理及履约不到位对我司造成的损失)，由我司接到应诉完毕之日起 10 个工作日内支付或从其结算款、质保金中扣除。</w:t>
      </w:r>
    </w:p>
    <w:p w14:paraId="6C3CA5BA">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八、合同生效与终止：</w:t>
      </w:r>
    </w:p>
    <w:p w14:paraId="74360DE5">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1、本合同自甲、乙双方签字盖章之日起生效。双方履行完本合同规定的全部责任和义务后合同终止；</w:t>
      </w:r>
    </w:p>
    <w:p w14:paraId="6FD5B33E">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2、在合同期内出现3次工程质量问题并影响甲方生产运行的，甲方有权终止合同；</w:t>
      </w:r>
    </w:p>
    <w:p w14:paraId="5D5660AA">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3、施工试用期1个月，如乙方以价格低或其它理由不积极履行合同约定，或屡次出现施工质量问题，甲方有权随时解除承包合同。</w:t>
      </w:r>
    </w:p>
    <w:p w14:paraId="12876D93">
      <w:pPr>
        <w:autoSpaceDE w:val="0"/>
        <w:autoSpaceDN w:val="0"/>
        <w:adjustRightInd w:val="0"/>
        <w:spacing w:line="520" w:lineRule="exact"/>
        <w:ind w:firstLine="218" w:firstLineChars="78"/>
        <w:rPr>
          <w:rFonts w:hint="eastAsia" w:ascii="宋体" w:hAnsi="宋体"/>
          <w:sz w:val="28"/>
          <w:szCs w:val="28"/>
        </w:rPr>
      </w:pPr>
      <w:r>
        <w:rPr>
          <w:rFonts w:hint="eastAsia" w:ascii="宋体" w:hAnsi="宋体"/>
          <w:sz w:val="28"/>
          <w:szCs w:val="28"/>
        </w:rPr>
        <w:t>九、合同争议的解决方式：</w:t>
      </w:r>
    </w:p>
    <w:p w14:paraId="2D0FE96E">
      <w:pPr>
        <w:autoSpaceDE w:val="0"/>
        <w:autoSpaceDN w:val="0"/>
        <w:adjustRightInd w:val="0"/>
        <w:spacing w:line="360" w:lineRule="auto"/>
        <w:ind w:firstLine="280" w:firstLineChars="100"/>
        <w:rPr>
          <w:rFonts w:hint="eastAsia" w:ascii="宋体" w:hAnsi="宋体"/>
          <w:sz w:val="28"/>
          <w:szCs w:val="28"/>
        </w:rPr>
      </w:pPr>
      <w:r>
        <w:rPr>
          <w:rFonts w:hint="eastAsia" w:ascii="宋体" w:hAnsi="宋体"/>
          <w:sz w:val="28"/>
          <w:szCs w:val="28"/>
        </w:rPr>
        <w:t>1、本合同在履行过程中发生的争议，双方应友好协商解决，协商不成，向合同签约地人民法院诉讼裁决。</w:t>
      </w:r>
    </w:p>
    <w:p w14:paraId="30EABAA6">
      <w:pPr>
        <w:autoSpaceDE w:val="0"/>
        <w:autoSpaceDN w:val="0"/>
        <w:adjustRightInd w:val="0"/>
        <w:spacing w:line="360" w:lineRule="auto"/>
        <w:ind w:firstLine="280" w:firstLineChars="100"/>
        <w:rPr>
          <w:rFonts w:hint="eastAsia" w:ascii="宋体" w:hAnsi="宋体"/>
          <w:sz w:val="28"/>
          <w:szCs w:val="28"/>
        </w:rPr>
      </w:pPr>
      <w:r>
        <w:rPr>
          <w:rFonts w:hint="eastAsia" w:ascii="宋体" w:hAnsi="宋体"/>
          <w:sz w:val="28"/>
          <w:szCs w:val="28"/>
        </w:rPr>
        <w:t>十、其他：</w:t>
      </w:r>
    </w:p>
    <w:p w14:paraId="1409111D">
      <w:pPr>
        <w:autoSpaceDE w:val="0"/>
        <w:autoSpaceDN w:val="0"/>
        <w:adjustRightInd w:val="0"/>
        <w:spacing w:line="360" w:lineRule="auto"/>
        <w:ind w:firstLine="560" w:firstLineChars="200"/>
        <w:rPr>
          <w:rFonts w:hint="eastAsia" w:ascii="宋体" w:hAnsi="宋体"/>
          <w:sz w:val="28"/>
          <w:szCs w:val="28"/>
        </w:rPr>
      </w:pPr>
      <w:r>
        <w:rPr>
          <w:rFonts w:hint="eastAsia" w:ascii="宋体" w:hAnsi="宋体"/>
          <w:sz w:val="28"/>
          <w:szCs w:val="28"/>
        </w:rPr>
        <w:t>1、本合同未尽事宜，双方协商解决。</w:t>
      </w:r>
    </w:p>
    <w:p w14:paraId="57442896">
      <w:pPr>
        <w:autoSpaceDE w:val="0"/>
        <w:autoSpaceDN w:val="0"/>
        <w:adjustRightInd w:val="0"/>
        <w:spacing w:line="360" w:lineRule="auto"/>
        <w:ind w:firstLine="280" w:firstLineChars="100"/>
        <w:rPr>
          <w:rFonts w:hint="eastAsia" w:ascii="宋体" w:hAnsi="宋体"/>
          <w:sz w:val="28"/>
          <w:szCs w:val="28"/>
        </w:rPr>
      </w:pPr>
      <w:r>
        <w:rPr>
          <w:rFonts w:hint="eastAsia" w:ascii="宋体" w:hAnsi="宋体"/>
          <w:sz w:val="28"/>
          <w:szCs w:val="28"/>
        </w:rPr>
        <w:t xml:space="preserve">  2、本合同一式伍份，甲方执叁份，乙方执贰份，具有同等法律效力，自双方签字盖章之日起生效。</w:t>
      </w:r>
    </w:p>
    <w:p w14:paraId="47375605">
      <w:pPr>
        <w:autoSpaceDE w:val="0"/>
        <w:autoSpaceDN w:val="0"/>
        <w:adjustRightInd w:val="0"/>
        <w:spacing w:line="360" w:lineRule="auto"/>
        <w:ind w:firstLine="280" w:firstLineChars="100"/>
        <w:rPr>
          <w:rFonts w:hint="eastAsia" w:ascii="宋体" w:hAnsi="宋体"/>
          <w:sz w:val="28"/>
          <w:szCs w:val="28"/>
        </w:rPr>
      </w:pPr>
      <w:r>
        <w:rPr>
          <w:rFonts w:hint="eastAsia" w:ascii="宋体" w:hAnsi="宋体"/>
          <w:sz w:val="28"/>
          <w:szCs w:val="28"/>
        </w:rPr>
        <w:t>十一、安全生产管理协议</w:t>
      </w:r>
    </w:p>
    <w:p w14:paraId="133EBADF">
      <w:pPr>
        <w:adjustRightInd w:val="0"/>
        <w:snapToGrid w:val="0"/>
        <w:spacing w:line="360" w:lineRule="auto"/>
        <w:rPr>
          <w:rFonts w:hint="eastAsia" w:ascii="宋体" w:hAnsi="宋体"/>
          <w:sz w:val="28"/>
          <w:szCs w:val="28"/>
        </w:rPr>
      </w:pPr>
      <w:r>
        <w:rPr>
          <w:rFonts w:hint="eastAsia" w:ascii="宋体" w:hAnsi="宋体"/>
          <w:sz w:val="28"/>
          <w:szCs w:val="28"/>
        </w:rPr>
        <w:t xml:space="preserve">   （一）甲方的权利、责任和义务</w:t>
      </w:r>
    </w:p>
    <w:p w14:paraId="38432068">
      <w:pPr>
        <w:adjustRightInd w:val="0"/>
        <w:snapToGrid w:val="0"/>
        <w:spacing w:line="360" w:lineRule="auto"/>
        <w:rPr>
          <w:rFonts w:hint="eastAsia" w:ascii="宋体" w:hAnsi="宋体"/>
          <w:sz w:val="28"/>
          <w:szCs w:val="28"/>
        </w:rPr>
      </w:pPr>
      <w:r>
        <w:rPr>
          <w:rFonts w:hint="eastAsia" w:ascii="宋体" w:hAnsi="宋体"/>
          <w:sz w:val="28"/>
          <w:szCs w:val="28"/>
        </w:rPr>
        <w:t xml:space="preserve">    1、贯彻落实国家有关施工现场安全生产、文明施工的法律、法规和标准，确保施工现场安全生产正常有序。 </w:t>
      </w:r>
    </w:p>
    <w:p w14:paraId="6A13D890">
      <w:pPr>
        <w:adjustRightInd w:val="0"/>
        <w:snapToGrid w:val="0"/>
        <w:spacing w:line="360" w:lineRule="auto"/>
        <w:rPr>
          <w:rFonts w:hint="eastAsia" w:ascii="宋体" w:hAnsi="宋体"/>
          <w:sz w:val="28"/>
          <w:szCs w:val="28"/>
        </w:rPr>
      </w:pPr>
      <w:r>
        <w:rPr>
          <w:rFonts w:hint="eastAsia" w:ascii="宋体" w:hAnsi="宋体"/>
          <w:sz w:val="28"/>
          <w:szCs w:val="28"/>
        </w:rPr>
        <w:t xml:space="preserve">    2、为乙方提供符合作业要求场地和临水、临电接入端口。</w:t>
      </w:r>
    </w:p>
    <w:p w14:paraId="51D071C7">
      <w:pPr>
        <w:adjustRightInd w:val="0"/>
        <w:snapToGrid w:val="0"/>
        <w:spacing w:line="360" w:lineRule="auto"/>
        <w:rPr>
          <w:rFonts w:hint="eastAsia" w:ascii="宋体" w:hAnsi="宋体"/>
          <w:sz w:val="28"/>
          <w:szCs w:val="28"/>
        </w:rPr>
      </w:pPr>
      <w:r>
        <w:rPr>
          <w:rFonts w:hint="eastAsia" w:ascii="宋体" w:hAnsi="宋体"/>
          <w:sz w:val="28"/>
          <w:szCs w:val="28"/>
        </w:rPr>
        <w:t xml:space="preserve">    3、告知乙方相关安全管理要求。</w:t>
      </w:r>
    </w:p>
    <w:p w14:paraId="1B695876">
      <w:pPr>
        <w:adjustRightInd w:val="0"/>
        <w:snapToGrid w:val="0"/>
        <w:spacing w:line="360" w:lineRule="auto"/>
        <w:rPr>
          <w:rFonts w:hint="eastAsia" w:ascii="宋体" w:hAnsi="宋体"/>
          <w:sz w:val="28"/>
          <w:szCs w:val="28"/>
        </w:rPr>
      </w:pPr>
      <w:r>
        <w:rPr>
          <w:rFonts w:hint="eastAsia" w:ascii="宋体" w:hAnsi="宋体"/>
          <w:sz w:val="28"/>
          <w:szCs w:val="28"/>
        </w:rPr>
        <w:t xml:space="preserve">    4、为乙方上报的入场人员免费提供入场安全教育。</w:t>
      </w:r>
    </w:p>
    <w:p w14:paraId="688D5765">
      <w:pPr>
        <w:adjustRightInd w:val="0"/>
        <w:snapToGrid w:val="0"/>
        <w:spacing w:line="360" w:lineRule="auto"/>
        <w:rPr>
          <w:rFonts w:hint="eastAsia" w:ascii="宋体" w:hAnsi="宋体"/>
          <w:sz w:val="28"/>
          <w:szCs w:val="28"/>
        </w:rPr>
      </w:pPr>
      <w:r>
        <w:rPr>
          <w:rFonts w:hint="eastAsia" w:ascii="宋体" w:hAnsi="宋体"/>
          <w:sz w:val="28"/>
          <w:szCs w:val="28"/>
        </w:rPr>
        <w:t xml:space="preserve">    5、对乙方提出的安全生产要求积极进行协调。</w:t>
      </w:r>
    </w:p>
    <w:p w14:paraId="76046B83">
      <w:pPr>
        <w:adjustRightInd w:val="0"/>
        <w:snapToGrid w:val="0"/>
        <w:spacing w:line="360" w:lineRule="auto"/>
        <w:rPr>
          <w:rFonts w:hint="eastAsia" w:ascii="宋体" w:hAnsi="宋体"/>
          <w:sz w:val="28"/>
          <w:szCs w:val="28"/>
        </w:rPr>
      </w:pPr>
      <w:r>
        <w:rPr>
          <w:rFonts w:hint="eastAsia" w:ascii="宋体" w:hAnsi="宋体"/>
          <w:sz w:val="28"/>
          <w:szCs w:val="28"/>
        </w:rPr>
        <w:t xml:space="preserve">    6、为乙方有偿提供区域内各项便利条件。</w:t>
      </w:r>
    </w:p>
    <w:p w14:paraId="1B3513F2">
      <w:pPr>
        <w:adjustRightInd w:val="0"/>
        <w:snapToGrid w:val="0"/>
        <w:spacing w:line="360" w:lineRule="auto"/>
        <w:rPr>
          <w:rFonts w:hint="eastAsia" w:ascii="宋体" w:hAnsi="宋体"/>
          <w:sz w:val="28"/>
          <w:szCs w:val="28"/>
        </w:rPr>
      </w:pPr>
      <w:r>
        <w:rPr>
          <w:rFonts w:hint="eastAsia" w:ascii="宋体" w:hAnsi="宋体"/>
          <w:sz w:val="28"/>
          <w:szCs w:val="28"/>
        </w:rPr>
        <w:t xml:space="preserve">    7、严禁违章指挥和强令冒险作业。</w:t>
      </w:r>
    </w:p>
    <w:p w14:paraId="5ADB079A">
      <w:pPr>
        <w:adjustRightInd w:val="0"/>
        <w:snapToGrid w:val="0"/>
        <w:spacing w:line="360" w:lineRule="auto"/>
        <w:rPr>
          <w:rFonts w:hint="eastAsia" w:ascii="宋体" w:hAnsi="宋体"/>
          <w:sz w:val="28"/>
          <w:szCs w:val="28"/>
        </w:rPr>
      </w:pPr>
      <w:r>
        <w:rPr>
          <w:rFonts w:hint="eastAsia" w:ascii="宋体" w:hAnsi="宋体"/>
          <w:sz w:val="28"/>
          <w:szCs w:val="28"/>
        </w:rPr>
        <w:t xml:space="preserve">    8、甲方提供物资必须符合国家有关安全强制性规定。</w:t>
      </w:r>
    </w:p>
    <w:p w14:paraId="6578CA78">
      <w:pPr>
        <w:adjustRightInd w:val="0"/>
        <w:snapToGrid w:val="0"/>
        <w:spacing w:line="360" w:lineRule="auto"/>
        <w:rPr>
          <w:rFonts w:hint="eastAsia" w:ascii="宋体" w:hAnsi="宋体"/>
          <w:sz w:val="28"/>
          <w:szCs w:val="28"/>
        </w:rPr>
      </w:pPr>
      <w:r>
        <w:rPr>
          <w:rFonts w:hint="eastAsia" w:ascii="宋体" w:hAnsi="宋体"/>
          <w:sz w:val="28"/>
          <w:szCs w:val="28"/>
        </w:rPr>
        <w:t xml:space="preserve">    9、有权对乙方施工有关的人员、场所、设备设施和活动、文件、资料等进行安全检查。</w:t>
      </w:r>
    </w:p>
    <w:p w14:paraId="78924790">
      <w:pPr>
        <w:adjustRightInd w:val="0"/>
        <w:snapToGrid w:val="0"/>
        <w:spacing w:line="360" w:lineRule="auto"/>
        <w:rPr>
          <w:rFonts w:hint="eastAsia" w:ascii="宋体" w:hAnsi="宋体"/>
          <w:sz w:val="28"/>
          <w:szCs w:val="28"/>
        </w:rPr>
      </w:pPr>
      <w:r>
        <w:rPr>
          <w:rFonts w:hint="eastAsia" w:ascii="宋体" w:hAnsi="宋体"/>
          <w:sz w:val="28"/>
          <w:szCs w:val="28"/>
        </w:rPr>
        <w:t xml:space="preserve">    10、有权无偿抽调乙方安全员以及专业技术人员参加安全检查。</w:t>
      </w:r>
    </w:p>
    <w:p w14:paraId="6E867DB7">
      <w:pPr>
        <w:adjustRightInd w:val="0"/>
        <w:snapToGrid w:val="0"/>
        <w:spacing w:line="360" w:lineRule="auto"/>
        <w:rPr>
          <w:rFonts w:hint="eastAsia" w:ascii="宋体" w:hAnsi="宋体"/>
          <w:sz w:val="28"/>
          <w:szCs w:val="28"/>
        </w:rPr>
      </w:pPr>
      <w:r>
        <w:rPr>
          <w:rFonts w:hint="eastAsia" w:ascii="宋体" w:hAnsi="宋体"/>
          <w:sz w:val="28"/>
          <w:szCs w:val="28"/>
        </w:rPr>
        <w:t xml:space="preserve">    11、有权对乙方不符合安全生产的行为提出批评指正和处罚。   </w:t>
      </w:r>
    </w:p>
    <w:p w14:paraId="63B7C9D8">
      <w:pPr>
        <w:adjustRightInd w:val="0"/>
        <w:snapToGrid w:val="0"/>
        <w:spacing w:line="360" w:lineRule="auto"/>
        <w:rPr>
          <w:rFonts w:hint="eastAsia" w:ascii="宋体" w:hAnsi="宋体"/>
          <w:sz w:val="28"/>
          <w:szCs w:val="28"/>
        </w:rPr>
      </w:pPr>
      <w:r>
        <w:rPr>
          <w:rFonts w:hint="eastAsia" w:ascii="宋体" w:hAnsi="宋体"/>
          <w:sz w:val="28"/>
          <w:szCs w:val="28"/>
        </w:rPr>
        <w:t xml:space="preserve">    12、有权在乙方存在较大安全隐患或不立即整改就可能发生事故的情况下做出停工整顿的决定。</w:t>
      </w:r>
    </w:p>
    <w:p w14:paraId="64590C95">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13、乙方不服从安全管理，甲方有权单方面终止乙方的施工合同。</w:t>
      </w:r>
    </w:p>
    <w:p w14:paraId="28C10F90">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（二）乙方的权利、责任和义务</w:t>
      </w:r>
    </w:p>
    <w:p w14:paraId="11995C6D">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1、遵守国家有关安全生产、文明施工的法律、法规和标准，加强安全生产管理工作，主动消除各类安全隐患，确保不发生安全生产事故。</w:t>
      </w:r>
    </w:p>
    <w:p w14:paraId="190BAC2B">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2、服从甲方安全生产管理，执行甲方有关安全生产的管理制度和有关要求。  </w:t>
      </w:r>
    </w:p>
    <w:p w14:paraId="667BF384">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3、按照国家规定建立安全生产管理制度、应急预案、安全操作规程。</w:t>
      </w:r>
    </w:p>
    <w:p w14:paraId="34EC5FDF">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4、全面建立健全并落实各级各类人员安全责任制，严格履行各方的安全责任和义务。</w:t>
      </w:r>
    </w:p>
    <w:p w14:paraId="23C4483A">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5、各类专业人员（包括项目经理，安全员、质检员、取样员、试验员、资料员、材料员，以及特种作业人等）必须按国家规定持有效证件方能上岗，并且按期参加复培。</w:t>
      </w:r>
    </w:p>
    <w:p w14:paraId="6E08F181">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6、入厂作业前，主动组织人员接受甲方的入厂安全教育、培训合格。</w:t>
      </w:r>
    </w:p>
    <w:p w14:paraId="0C860034">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7、每日班前会，在安排工作任务的同时，应对所有作业人员进行安全注意事项的教育，并进行岗前五项确认（身体状况确认，精神状况确认、劳动防护用品穿戴确认、特种作业持证上岗情况确认、岗位应知应会确认）。</w:t>
      </w:r>
    </w:p>
    <w:p w14:paraId="109B5562">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8、自行配置现场施工所必须的安全防护和应急救援响应设施、装置，并确保齐全有效。</w:t>
      </w:r>
    </w:p>
    <w:p w14:paraId="23AF6B81">
      <w:pPr>
        <w:adjustRightInd w:val="0"/>
        <w:snapToGrid w:val="0"/>
        <w:spacing w:line="360" w:lineRule="auto"/>
        <w:ind w:firstLine="280" w:firstLineChars="100"/>
        <w:rPr>
          <w:rFonts w:ascii="宋体" w:hAnsi="宋体"/>
          <w:sz w:val="28"/>
          <w:szCs w:val="28"/>
        </w:rPr>
      </w:pPr>
      <w:r>
        <w:rPr>
          <w:rFonts w:hint="eastAsia" w:ascii="宋体" w:hAnsi="宋体"/>
          <w:sz w:val="28"/>
          <w:szCs w:val="28"/>
        </w:rPr>
        <w:t xml:space="preserve">   9、必须加强安全隐患排查治理工作，日巡查、周检查和专项检查，做到安全条件不具备不施工。按甲方要求使用“微安全”app，整改甲方发现的安全隐患，接收甲方的安全考核。</w:t>
      </w:r>
    </w:p>
    <w:p w14:paraId="7FF98E18">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10、进行安全巡查，排查并整改安全隐患，及时做好记录备案工作。</w:t>
      </w:r>
    </w:p>
    <w:p w14:paraId="58092CE1">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11、按国家规定配发合适的劳动防护用品并指导、监督施工人员正确使用，涉及有毒有害作业的岗位，按国家职业卫生有关规定进行作业环境监测和职业病提前。</w:t>
      </w:r>
    </w:p>
    <w:p w14:paraId="70A58E29">
      <w:pPr>
        <w:adjustRightInd w:val="0"/>
        <w:snapToGrid w:val="0"/>
        <w:spacing w:line="360" w:lineRule="auto"/>
        <w:ind w:firstLine="638" w:firstLineChars="228"/>
        <w:rPr>
          <w:rFonts w:hint="eastAsia" w:ascii="宋体" w:hAnsi="宋体"/>
          <w:sz w:val="28"/>
          <w:szCs w:val="28"/>
        </w:rPr>
      </w:pPr>
      <w:r>
        <w:rPr>
          <w:rFonts w:hint="eastAsia" w:ascii="宋体" w:hAnsi="宋体"/>
          <w:sz w:val="28"/>
          <w:szCs w:val="28"/>
        </w:rPr>
        <w:t>12、有权拒绝违章指挥和冒险作业，有权拒绝不满足安全生产要求的任务。</w:t>
      </w:r>
    </w:p>
    <w:p w14:paraId="1B508F0D">
      <w:pPr>
        <w:adjustRightInd w:val="0"/>
        <w:snapToGrid w:val="0"/>
        <w:spacing w:line="360" w:lineRule="auto"/>
        <w:ind w:firstLine="638" w:firstLineChars="228"/>
        <w:rPr>
          <w:rFonts w:hint="eastAsia" w:ascii="宋体" w:hAnsi="宋体"/>
          <w:sz w:val="28"/>
          <w:szCs w:val="28"/>
        </w:rPr>
      </w:pPr>
      <w:r>
        <w:rPr>
          <w:rFonts w:hint="eastAsia" w:ascii="宋体" w:hAnsi="宋体"/>
          <w:sz w:val="28"/>
          <w:szCs w:val="28"/>
        </w:rPr>
        <w:t>13、乙方要为项目相关所有管理、技术、施工、后勤等相关人员人身及设备安全负责，要为相关人员投保足额的国家、地方法律法规规定的相关保险(包括但不限于:工伤保险，施工人员人身、意外伤害保险，车辆保险等)。乙方要为其设备办理财产保险。施工期间发生的安全事故医疗费用、设备事故修复费用由乙方承担，投保费用包含在合同总价中。</w:t>
      </w:r>
    </w:p>
    <w:p w14:paraId="52481405">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（三）安全责任认定</w:t>
      </w:r>
    </w:p>
    <w:p w14:paraId="14DD6B40">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1、事故责任约定</w:t>
      </w:r>
    </w:p>
    <w:p w14:paraId="3D3013BB">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完全因甲方强令冒险作业或违章指挥造成的安全事故，由甲方承担相应责任和损失。除此之外发生的事故，均由乙方承担全部责任，并由乙方承担相应损失和赔偿。</w:t>
      </w:r>
    </w:p>
    <w:p w14:paraId="499B9B22">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2、罚款约定</w:t>
      </w:r>
    </w:p>
    <w:p w14:paraId="1677B038">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乙方自愿接受甲方的安全生产管理，并接受甲方以下罚款规定：</w:t>
      </w:r>
    </w:p>
    <w:p w14:paraId="66740F78">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①一般安全隐患和违章违规每项、次罚款100元-2000元；</w:t>
      </w:r>
    </w:p>
    <w:p w14:paraId="6D7388F8">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②较大安全隐患每项罚款3000元-50000元；</w:t>
      </w:r>
    </w:p>
    <w:p w14:paraId="1675D642">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③损坏公共设施，每次罚款1000元-3000元，并赔偿造成的损失；</w:t>
      </w:r>
    </w:p>
    <w:p w14:paraId="4E7ACD52">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④具体罚款金额根据甲方有关规定确定；</w:t>
      </w:r>
    </w:p>
    <w:p w14:paraId="1BCA4789">
      <w:pPr>
        <w:adjustRightInd w:val="0"/>
        <w:snapToGrid w:val="0"/>
        <w:spacing w:line="360" w:lineRule="auto"/>
        <w:ind w:firstLine="840" w:firstLineChars="300"/>
        <w:rPr>
          <w:rFonts w:hint="eastAsia" w:ascii="宋体" w:hAnsi="宋体"/>
          <w:sz w:val="28"/>
          <w:szCs w:val="28"/>
        </w:rPr>
      </w:pPr>
      <w:r>
        <w:rPr>
          <w:rFonts w:hint="eastAsia" w:ascii="宋体" w:hAnsi="宋体"/>
          <w:sz w:val="28"/>
          <w:szCs w:val="28"/>
        </w:rPr>
        <w:t>⑤罚款甲方可直接从乙方工程款中扣除。</w:t>
      </w:r>
    </w:p>
    <w:p w14:paraId="00DA9248">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3、暂停合同责任约定</w:t>
      </w:r>
    </w:p>
    <w:p w14:paraId="3C513ACE">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因乙方存在较大安全隐患或拒不整改安全隐患，甲方做出停工整顿决定造成的各项损失，由乙方承担。</w:t>
      </w:r>
    </w:p>
    <w:p w14:paraId="21FFD562">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4、终止合同责任约定</w:t>
      </w:r>
    </w:p>
    <w:p w14:paraId="49D5519A">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因乙方不服从甲方管理，甲方终止合同造成的各项损失，由乙方承担。</w:t>
      </w:r>
    </w:p>
    <w:p w14:paraId="1BFF0A77">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（四）特殊情况可由甲乙双方共同协商解决。</w:t>
      </w:r>
    </w:p>
    <w:p w14:paraId="7D92E5A5">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 xml:space="preserve">  （五）本协议有效期：从甲乙双方代表签订之日至承包工程竣工验收合格之日为有效期。</w:t>
      </w:r>
    </w:p>
    <w:p w14:paraId="22334A45">
      <w:pPr>
        <w:adjustRightInd w:val="0"/>
        <w:snapToGrid w:val="0"/>
        <w:spacing w:line="360" w:lineRule="auto"/>
        <w:rPr>
          <w:rFonts w:hint="eastAsia" w:ascii="宋体" w:hAnsi="宋体"/>
          <w:sz w:val="28"/>
          <w:szCs w:val="28"/>
        </w:rPr>
      </w:pPr>
      <w:r>
        <w:rPr>
          <w:rFonts w:hint="eastAsia" w:ascii="宋体" w:hAnsi="宋体"/>
          <w:sz w:val="28"/>
          <w:szCs w:val="28"/>
        </w:rPr>
        <w:t>十二、保廉条款：</w:t>
      </w:r>
    </w:p>
    <w:p w14:paraId="79153F71">
      <w:pPr>
        <w:adjustRightInd w:val="0"/>
        <w:snapToGrid w:val="0"/>
        <w:spacing w:line="360" w:lineRule="auto"/>
        <w:ind w:firstLine="280" w:firstLineChars="100"/>
        <w:rPr>
          <w:rFonts w:hint="eastAsia" w:ascii="宋体" w:hAnsi="宋体"/>
          <w:sz w:val="28"/>
          <w:szCs w:val="28"/>
        </w:rPr>
      </w:pPr>
      <w:r>
        <w:rPr>
          <w:rFonts w:hint="eastAsia" w:ascii="宋体" w:hAnsi="宋体"/>
          <w:sz w:val="28"/>
          <w:szCs w:val="28"/>
        </w:rPr>
        <w:t>1、甲方的工作人员有责任向乙方介绍本单位有关廉洁从业的制度、规定。甲方的纪检监察人员有权对招、投标及合同执行过程中的廉洁情况进行监督。</w:t>
      </w:r>
    </w:p>
    <w:p w14:paraId="4995EA96">
      <w:pPr>
        <w:adjustRightInd w:val="0"/>
        <w:snapToGrid w:val="0"/>
        <w:spacing w:line="360" w:lineRule="auto"/>
        <w:rPr>
          <w:rFonts w:hint="eastAsia" w:ascii="宋体" w:hAnsi="宋体"/>
          <w:sz w:val="28"/>
          <w:szCs w:val="28"/>
        </w:rPr>
      </w:pPr>
      <w:r>
        <w:rPr>
          <w:rFonts w:hint="eastAsia" w:ascii="宋体" w:hAnsi="宋体"/>
          <w:sz w:val="28"/>
          <w:szCs w:val="28"/>
        </w:rPr>
        <w:t xml:space="preserve">  2、甲方的工作人员不得向乙方泄露招、投标中的商业秘密。</w:t>
      </w:r>
    </w:p>
    <w:p w14:paraId="5F92C698">
      <w:pPr>
        <w:adjustRightInd w:val="0"/>
        <w:snapToGrid w:val="0"/>
        <w:spacing w:line="360" w:lineRule="auto"/>
        <w:rPr>
          <w:rFonts w:hint="eastAsia" w:ascii="宋体" w:hAnsi="宋体"/>
          <w:sz w:val="28"/>
          <w:szCs w:val="28"/>
        </w:rPr>
      </w:pPr>
      <w:r>
        <w:rPr>
          <w:rFonts w:hint="eastAsia" w:ascii="宋体" w:hAnsi="宋体"/>
          <w:sz w:val="28"/>
          <w:szCs w:val="28"/>
        </w:rPr>
        <w:t xml:space="preserve">  3、甲方的工作人员在招、投标过程中以及合同执行过程中，不得以任何形式向乙方索取贿赂、收受回扣及好处费等；不得接受乙方馈赠的有价证券和贵重物品；不得让乙方报销任何费用；不得参加对执行公务有影响的娱乐活动和宴请；不得向乙方介绍家属或亲友从事与该项目有关的材料、设备供应和该项目分包等经济活动；不得要求乙方为亲属安排出境和国内旅游等；不得借婚丧嫁娶之机收受乙方的钱（含有价证券）、物。</w:t>
      </w:r>
    </w:p>
    <w:p w14:paraId="0F02FAE9">
      <w:pPr>
        <w:adjustRightInd w:val="0"/>
        <w:snapToGrid w:val="0"/>
        <w:spacing w:line="360" w:lineRule="auto"/>
        <w:rPr>
          <w:rFonts w:hint="eastAsia" w:ascii="宋体" w:hAnsi="宋体"/>
          <w:sz w:val="28"/>
          <w:szCs w:val="28"/>
        </w:rPr>
      </w:pPr>
      <w:r>
        <w:rPr>
          <w:rFonts w:hint="eastAsia" w:ascii="宋体" w:hAnsi="宋体"/>
          <w:sz w:val="28"/>
          <w:szCs w:val="28"/>
        </w:rPr>
        <w:t xml:space="preserve"> 4、对乙方主动给予的钱（含有价证券）、物，甲方的工作人员要坚决谢绝，无法拒绝的要在两周内上交乙方的纪检监察部门。</w:t>
      </w:r>
    </w:p>
    <w:p w14:paraId="3208FE1E">
      <w:pPr>
        <w:adjustRightInd w:val="0"/>
        <w:snapToGrid w:val="0"/>
        <w:spacing w:line="360" w:lineRule="auto"/>
        <w:rPr>
          <w:rFonts w:hint="eastAsia" w:ascii="宋体" w:hAnsi="宋体"/>
          <w:sz w:val="28"/>
          <w:szCs w:val="28"/>
        </w:rPr>
      </w:pPr>
      <w:r>
        <w:rPr>
          <w:rFonts w:hint="eastAsia" w:ascii="宋体" w:hAnsi="宋体"/>
          <w:sz w:val="28"/>
          <w:szCs w:val="28"/>
        </w:rPr>
        <w:t xml:space="preserve"> 5、甲方的工作人员在招标及执行合同过程中，必须遵守廉洁自律的其他有关规定。</w:t>
      </w:r>
    </w:p>
    <w:p w14:paraId="01EC2223">
      <w:pPr>
        <w:adjustRightInd w:val="0"/>
        <w:snapToGrid w:val="0"/>
        <w:spacing w:line="360" w:lineRule="auto"/>
        <w:rPr>
          <w:rFonts w:hint="eastAsia" w:ascii="宋体" w:hAnsi="宋体"/>
          <w:sz w:val="28"/>
          <w:szCs w:val="28"/>
        </w:rPr>
      </w:pPr>
      <w:r>
        <w:rPr>
          <w:rFonts w:hint="eastAsia" w:ascii="宋体" w:hAnsi="宋体"/>
          <w:sz w:val="28"/>
          <w:szCs w:val="28"/>
        </w:rPr>
        <w:t xml:space="preserve"> 6、乙方的工作人员有权对招、投标及合同执行过程中的廉洁从业情况进行监督，并积极配合甲方纪检监察工作人员就有关违纪问题进行调查取证。</w:t>
      </w:r>
    </w:p>
    <w:p w14:paraId="04CF8DB5">
      <w:pPr>
        <w:adjustRightInd w:val="0"/>
        <w:snapToGrid w:val="0"/>
        <w:spacing w:line="360" w:lineRule="auto"/>
        <w:rPr>
          <w:rFonts w:hint="eastAsia" w:ascii="宋体" w:hAnsi="宋体"/>
          <w:sz w:val="28"/>
          <w:szCs w:val="28"/>
        </w:rPr>
      </w:pPr>
      <w:r>
        <w:rPr>
          <w:rFonts w:hint="eastAsia" w:ascii="宋体" w:hAnsi="宋体"/>
          <w:sz w:val="28"/>
          <w:szCs w:val="28"/>
        </w:rPr>
        <w:t xml:space="preserve"> 7、乙方有权了解甲方在廉洁从业方面的各项制度和规定，并主动配合甲方遵守执行。</w:t>
      </w:r>
    </w:p>
    <w:p w14:paraId="2EDC1929">
      <w:pPr>
        <w:adjustRightInd w:val="0"/>
        <w:snapToGrid w:val="0"/>
        <w:spacing w:line="360" w:lineRule="auto"/>
        <w:rPr>
          <w:rFonts w:hint="eastAsia" w:ascii="宋体" w:hAnsi="宋体"/>
          <w:sz w:val="28"/>
          <w:szCs w:val="28"/>
        </w:rPr>
      </w:pPr>
      <w:r>
        <w:rPr>
          <w:rFonts w:hint="eastAsia" w:ascii="宋体" w:hAnsi="宋体"/>
          <w:sz w:val="28"/>
          <w:szCs w:val="28"/>
        </w:rPr>
        <w:t xml:space="preserve"> 8、乙方的工作人员不得以任何方式向甲方工作人员了解招投标中的商业秘密。</w:t>
      </w:r>
    </w:p>
    <w:p w14:paraId="7251E31D">
      <w:pPr>
        <w:adjustRightInd w:val="0"/>
        <w:snapToGrid w:val="0"/>
        <w:spacing w:line="360" w:lineRule="auto"/>
        <w:rPr>
          <w:rFonts w:hint="eastAsia" w:ascii="宋体" w:hAnsi="宋体"/>
          <w:sz w:val="28"/>
          <w:szCs w:val="28"/>
        </w:rPr>
      </w:pPr>
      <w:r>
        <w:rPr>
          <w:rFonts w:hint="eastAsia" w:ascii="宋体" w:hAnsi="宋体"/>
          <w:sz w:val="28"/>
          <w:szCs w:val="28"/>
        </w:rPr>
        <w:t xml:space="preserve"> 9、乙方的工作人员在投标过程及中标后的合同执行过程中，不得向甲方的工作人员行贿、提供回扣或其他好处费等；不得向甲方的工作人员馈赠有价证券和贵重物品；不得给甲方的工作人员报销任何费用；不得为甲方的工作人员购置或长期无偿提供交通工具、通讯工具、家电、办公用品等；不得邀请甲方的工作人员参加对执行公务有影响的娱乐活动和宴请；不得接受甲方的工作人员介绍的家属或亲友从事与该项目有关的材料、设备供应或该项目分包等经济活动；不得为甲方的工作人员的亲属安排出境和国内旅游等；不得借婚丧嫁娶之机向甲方的工作人员赠送钱（含有价证券）、物。</w:t>
      </w:r>
    </w:p>
    <w:p w14:paraId="1345BC16">
      <w:pPr>
        <w:adjustRightInd w:val="0"/>
        <w:snapToGrid w:val="0"/>
        <w:spacing w:line="360" w:lineRule="auto"/>
        <w:rPr>
          <w:rFonts w:hint="eastAsia" w:ascii="宋体" w:hAnsi="宋体"/>
          <w:sz w:val="28"/>
          <w:szCs w:val="28"/>
        </w:rPr>
      </w:pPr>
      <w:r>
        <w:rPr>
          <w:rFonts w:hint="eastAsia" w:ascii="宋体" w:hAnsi="宋体"/>
          <w:sz w:val="28"/>
          <w:szCs w:val="28"/>
        </w:rPr>
        <w:t xml:space="preserve"> 10、乙方发现甲方的工作人员有不廉洁的行为，必须在48小时内署名报告甲方的纪检监察人员或有关领导。</w:t>
      </w:r>
    </w:p>
    <w:p w14:paraId="104067F8">
      <w:pPr>
        <w:adjustRightInd w:val="0"/>
        <w:snapToGrid w:val="0"/>
        <w:spacing w:line="360" w:lineRule="auto"/>
        <w:rPr>
          <w:rFonts w:hint="eastAsia" w:ascii="宋体" w:hAnsi="宋体"/>
          <w:sz w:val="28"/>
          <w:szCs w:val="28"/>
        </w:rPr>
      </w:pPr>
    </w:p>
    <w:tbl>
      <w:tblPr>
        <w:tblStyle w:val="10"/>
        <w:tblW w:w="0" w:type="auto"/>
        <w:jc w:val="center"/>
        <w:tblLayout w:type="fixed"/>
        <w:tblCellMar>
          <w:top w:w="0" w:type="dxa"/>
          <w:left w:w="28" w:type="dxa"/>
          <w:bottom w:w="0" w:type="dxa"/>
          <w:right w:w="28" w:type="dxa"/>
        </w:tblCellMar>
      </w:tblPr>
      <w:tblGrid>
        <w:gridCol w:w="4820"/>
        <w:gridCol w:w="4540"/>
      </w:tblGrid>
      <w:tr w14:paraId="6B2E19E7">
        <w:tblPrEx>
          <w:tblCellMar>
            <w:top w:w="0" w:type="dxa"/>
            <w:left w:w="28" w:type="dxa"/>
            <w:bottom w:w="0" w:type="dxa"/>
            <w:right w:w="28" w:type="dxa"/>
          </w:tblCellMar>
        </w:tblPrEx>
        <w:trPr>
          <w:trHeight w:val="671" w:hRule="atLeast"/>
          <w:jc w:val="center"/>
        </w:trPr>
        <w:tc>
          <w:tcPr>
            <w:tcW w:w="4820" w:type="dxa"/>
            <w:noWrap w:val="0"/>
            <w:vAlign w:val="center"/>
          </w:tcPr>
          <w:p w14:paraId="6DD85D02">
            <w:pPr>
              <w:spacing w:line="360" w:lineRule="auto"/>
              <w:rPr>
                <w:rFonts w:hint="eastAsia" w:ascii="宋体" w:hAnsi="宋体" w:cs="宋体"/>
                <w:sz w:val="24"/>
                <w:szCs w:val="24"/>
              </w:rPr>
            </w:pPr>
            <w:r>
              <w:rPr>
                <w:rFonts w:hint="eastAsia" w:ascii="宋体" w:hAnsi="宋体" w:cs="宋体"/>
                <w:sz w:val="24"/>
                <w:szCs w:val="24"/>
              </w:rPr>
              <w:t>甲方：</w:t>
            </w:r>
          </w:p>
        </w:tc>
        <w:tc>
          <w:tcPr>
            <w:tcW w:w="4540" w:type="dxa"/>
            <w:noWrap w:val="0"/>
            <w:vAlign w:val="center"/>
          </w:tcPr>
          <w:p w14:paraId="17F3C683">
            <w:pPr>
              <w:spacing w:line="360" w:lineRule="auto"/>
              <w:rPr>
                <w:rFonts w:hint="eastAsia" w:ascii="宋体" w:hAnsi="宋体" w:cs="宋体"/>
                <w:sz w:val="24"/>
                <w:szCs w:val="24"/>
              </w:rPr>
            </w:pPr>
            <w:r>
              <w:rPr>
                <w:rFonts w:hint="eastAsia" w:ascii="宋体" w:hAnsi="宋体" w:cs="宋体"/>
                <w:sz w:val="24"/>
                <w:szCs w:val="24"/>
              </w:rPr>
              <w:t>乙方：</w:t>
            </w:r>
          </w:p>
        </w:tc>
      </w:tr>
      <w:tr w14:paraId="08BD22B5">
        <w:tblPrEx>
          <w:tblCellMar>
            <w:top w:w="0" w:type="dxa"/>
            <w:left w:w="28" w:type="dxa"/>
            <w:bottom w:w="0" w:type="dxa"/>
            <w:right w:w="28" w:type="dxa"/>
          </w:tblCellMar>
        </w:tblPrEx>
        <w:trPr>
          <w:trHeight w:val="668" w:hRule="atLeast"/>
          <w:jc w:val="center"/>
        </w:trPr>
        <w:tc>
          <w:tcPr>
            <w:tcW w:w="4820" w:type="dxa"/>
            <w:noWrap w:val="0"/>
            <w:vAlign w:val="center"/>
          </w:tcPr>
          <w:p w14:paraId="52CAA060">
            <w:pPr>
              <w:spacing w:line="360" w:lineRule="auto"/>
              <w:rPr>
                <w:rFonts w:hint="eastAsia" w:ascii="宋体" w:hAnsi="宋体" w:cs="宋体"/>
                <w:sz w:val="24"/>
                <w:szCs w:val="24"/>
              </w:rPr>
            </w:pPr>
            <w:r>
              <w:rPr>
                <w:rFonts w:hint="eastAsia" w:ascii="宋体" w:hAnsi="宋体" w:cs="宋体"/>
                <w:sz w:val="24"/>
                <w:szCs w:val="24"/>
              </w:rPr>
              <w:t>单位名称：河南中原黄金冶炼厂有限责任公司</w:t>
            </w:r>
          </w:p>
        </w:tc>
        <w:tc>
          <w:tcPr>
            <w:tcW w:w="4540" w:type="dxa"/>
            <w:noWrap w:val="0"/>
            <w:vAlign w:val="center"/>
          </w:tcPr>
          <w:p w14:paraId="2C0FD999">
            <w:pPr>
              <w:spacing w:line="360" w:lineRule="auto"/>
              <w:rPr>
                <w:rFonts w:hint="eastAsia" w:ascii="宋体" w:hAnsi="宋体" w:cs="宋体"/>
                <w:sz w:val="24"/>
                <w:szCs w:val="24"/>
              </w:rPr>
            </w:pPr>
            <w:r>
              <w:rPr>
                <w:rFonts w:hint="eastAsia" w:ascii="宋体" w:hAnsi="宋体" w:cs="宋体"/>
                <w:sz w:val="24"/>
                <w:szCs w:val="24"/>
              </w:rPr>
              <w:t>单位名称：</w:t>
            </w:r>
          </w:p>
        </w:tc>
      </w:tr>
      <w:tr w14:paraId="18E30C5E">
        <w:tblPrEx>
          <w:tblCellMar>
            <w:top w:w="0" w:type="dxa"/>
            <w:left w:w="28" w:type="dxa"/>
            <w:bottom w:w="0" w:type="dxa"/>
            <w:right w:w="28" w:type="dxa"/>
          </w:tblCellMar>
        </w:tblPrEx>
        <w:trPr>
          <w:trHeight w:val="668" w:hRule="atLeast"/>
          <w:jc w:val="center"/>
        </w:trPr>
        <w:tc>
          <w:tcPr>
            <w:tcW w:w="4820" w:type="dxa"/>
            <w:noWrap w:val="0"/>
            <w:vAlign w:val="center"/>
          </w:tcPr>
          <w:p w14:paraId="03257E2C">
            <w:pPr>
              <w:spacing w:line="360" w:lineRule="auto"/>
              <w:rPr>
                <w:rFonts w:hint="eastAsia" w:ascii="宋体" w:hAnsi="宋体" w:cs="宋体"/>
                <w:sz w:val="24"/>
                <w:szCs w:val="24"/>
              </w:rPr>
            </w:pPr>
            <w:r>
              <w:rPr>
                <w:rFonts w:hint="eastAsia" w:ascii="宋体" w:hAnsi="宋体" w:cs="宋体"/>
                <w:sz w:val="24"/>
                <w:szCs w:val="24"/>
              </w:rPr>
              <w:t>单位地址：三门峡市城乡一体化示范区209国道南侧</w:t>
            </w:r>
          </w:p>
        </w:tc>
        <w:tc>
          <w:tcPr>
            <w:tcW w:w="4540" w:type="dxa"/>
            <w:noWrap w:val="0"/>
            <w:vAlign w:val="center"/>
          </w:tcPr>
          <w:p w14:paraId="1EFEB515">
            <w:pPr>
              <w:spacing w:line="360" w:lineRule="auto"/>
              <w:rPr>
                <w:rFonts w:hint="eastAsia" w:ascii="宋体" w:hAnsi="宋体" w:cs="宋体"/>
                <w:sz w:val="24"/>
                <w:szCs w:val="24"/>
              </w:rPr>
            </w:pPr>
            <w:r>
              <w:rPr>
                <w:rFonts w:hint="eastAsia" w:ascii="宋体" w:hAnsi="宋体" w:cs="宋体"/>
                <w:sz w:val="24"/>
                <w:szCs w:val="24"/>
              </w:rPr>
              <w:t>单位地址：</w:t>
            </w:r>
          </w:p>
        </w:tc>
      </w:tr>
      <w:tr w14:paraId="17AFBA25">
        <w:tblPrEx>
          <w:tblCellMar>
            <w:top w:w="0" w:type="dxa"/>
            <w:left w:w="28" w:type="dxa"/>
            <w:bottom w:w="0" w:type="dxa"/>
            <w:right w:w="28" w:type="dxa"/>
          </w:tblCellMar>
        </w:tblPrEx>
        <w:trPr>
          <w:trHeight w:val="873" w:hRule="atLeast"/>
          <w:jc w:val="center"/>
        </w:trPr>
        <w:tc>
          <w:tcPr>
            <w:tcW w:w="4820" w:type="dxa"/>
            <w:noWrap w:val="0"/>
            <w:vAlign w:val="center"/>
          </w:tcPr>
          <w:p w14:paraId="0F902553">
            <w:pPr>
              <w:spacing w:line="360" w:lineRule="auto"/>
              <w:rPr>
                <w:rFonts w:hint="eastAsia" w:ascii="宋体" w:hAnsi="宋体" w:cs="宋体"/>
                <w:sz w:val="24"/>
                <w:szCs w:val="24"/>
              </w:rPr>
            </w:pPr>
            <w:r>
              <w:rPr>
                <w:rFonts w:hint="eastAsia" w:ascii="宋体" w:hAnsi="宋体" w:cs="宋体"/>
                <w:sz w:val="24"/>
                <w:szCs w:val="24"/>
              </w:rPr>
              <w:t>法定代表人：彭国敏</w:t>
            </w:r>
          </w:p>
        </w:tc>
        <w:tc>
          <w:tcPr>
            <w:tcW w:w="4540" w:type="dxa"/>
            <w:noWrap w:val="0"/>
            <w:vAlign w:val="center"/>
          </w:tcPr>
          <w:p w14:paraId="387D92B5">
            <w:pPr>
              <w:spacing w:line="360" w:lineRule="auto"/>
              <w:rPr>
                <w:rFonts w:hint="eastAsia" w:ascii="宋体" w:hAnsi="宋体" w:cs="宋体"/>
                <w:sz w:val="24"/>
                <w:szCs w:val="24"/>
              </w:rPr>
            </w:pPr>
            <w:r>
              <w:rPr>
                <w:rFonts w:hint="eastAsia" w:ascii="宋体" w:hAnsi="宋体" w:cs="宋体"/>
                <w:sz w:val="24"/>
                <w:szCs w:val="24"/>
              </w:rPr>
              <w:t>法定代表人：</w:t>
            </w:r>
          </w:p>
        </w:tc>
      </w:tr>
      <w:tr w14:paraId="6E01E426">
        <w:tblPrEx>
          <w:tblCellMar>
            <w:top w:w="0" w:type="dxa"/>
            <w:left w:w="28" w:type="dxa"/>
            <w:bottom w:w="0" w:type="dxa"/>
            <w:right w:w="28" w:type="dxa"/>
          </w:tblCellMar>
        </w:tblPrEx>
        <w:trPr>
          <w:trHeight w:val="771" w:hRule="atLeast"/>
          <w:jc w:val="center"/>
        </w:trPr>
        <w:tc>
          <w:tcPr>
            <w:tcW w:w="4820" w:type="dxa"/>
            <w:noWrap w:val="0"/>
            <w:vAlign w:val="center"/>
          </w:tcPr>
          <w:p w14:paraId="2CE6D454">
            <w:pPr>
              <w:spacing w:line="360" w:lineRule="auto"/>
              <w:rPr>
                <w:rFonts w:hint="eastAsia" w:ascii="宋体" w:hAnsi="宋体" w:cs="宋体"/>
                <w:sz w:val="24"/>
                <w:szCs w:val="24"/>
              </w:rPr>
            </w:pPr>
            <w:r>
              <w:rPr>
                <w:rFonts w:hint="eastAsia" w:ascii="宋体" w:hAnsi="宋体" w:cs="宋体"/>
                <w:sz w:val="24"/>
                <w:szCs w:val="24"/>
              </w:rPr>
              <w:t>授权代理人(签字)：</w:t>
            </w:r>
          </w:p>
        </w:tc>
        <w:tc>
          <w:tcPr>
            <w:tcW w:w="4540" w:type="dxa"/>
            <w:noWrap w:val="0"/>
            <w:vAlign w:val="center"/>
          </w:tcPr>
          <w:p w14:paraId="59EB8299">
            <w:pPr>
              <w:spacing w:line="360" w:lineRule="auto"/>
              <w:rPr>
                <w:rFonts w:hint="eastAsia" w:ascii="宋体" w:hAnsi="宋体" w:cs="宋体"/>
                <w:sz w:val="24"/>
                <w:szCs w:val="24"/>
              </w:rPr>
            </w:pPr>
            <w:r>
              <w:rPr>
                <w:rFonts w:hint="eastAsia" w:ascii="宋体" w:hAnsi="宋体" w:cs="宋体"/>
                <w:sz w:val="24"/>
                <w:szCs w:val="24"/>
              </w:rPr>
              <w:t>授权代理人(签字)：</w:t>
            </w:r>
          </w:p>
        </w:tc>
      </w:tr>
      <w:tr w14:paraId="3003D582">
        <w:tblPrEx>
          <w:tblCellMar>
            <w:top w:w="0" w:type="dxa"/>
            <w:left w:w="28" w:type="dxa"/>
            <w:bottom w:w="0" w:type="dxa"/>
            <w:right w:w="28" w:type="dxa"/>
          </w:tblCellMar>
        </w:tblPrEx>
        <w:trPr>
          <w:trHeight w:val="618" w:hRule="atLeast"/>
          <w:jc w:val="center"/>
        </w:trPr>
        <w:tc>
          <w:tcPr>
            <w:tcW w:w="4820" w:type="dxa"/>
            <w:noWrap w:val="0"/>
            <w:vAlign w:val="center"/>
          </w:tcPr>
          <w:p w14:paraId="69E1B983">
            <w:pPr>
              <w:spacing w:line="360" w:lineRule="auto"/>
              <w:rPr>
                <w:rFonts w:hint="eastAsia" w:ascii="宋体" w:hAnsi="宋体" w:cs="宋体"/>
                <w:sz w:val="24"/>
                <w:szCs w:val="24"/>
              </w:rPr>
            </w:pPr>
            <w:r>
              <w:rPr>
                <w:rFonts w:hint="eastAsia" w:ascii="宋体" w:hAnsi="宋体" w:cs="宋体"/>
                <w:sz w:val="24"/>
                <w:szCs w:val="24"/>
              </w:rPr>
              <w:t>统一社会信用代码：91411200683185680F</w:t>
            </w:r>
          </w:p>
        </w:tc>
        <w:tc>
          <w:tcPr>
            <w:tcW w:w="4540" w:type="dxa"/>
            <w:noWrap w:val="0"/>
            <w:vAlign w:val="center"/>
          </w:tcPr>
          <w:p w14:paraId="4AA1A448">
            <w:pPr>
              <w:spacing w:line="360" w:lineRule="auto"/>
              <w:rPr>
                <w:rFonts w:hint="eastAsia" w:ascii="宋体" w:hAnsi="宋体" w:cs="宋体"/>
                <w:sz w:val="24"/>
                <w:szCs w:val="24"/>
              </w:rPr>
            </w:pPr>
            <w:r>
              <w:rPr>
                <w:rFonts w:hint="eastAsia" w:ascii="宋体" w:hAnsi="宋体" w:cs="宋体"/>
                <w:sz w:val="24"/>
                <w:szCs w:val="24"/>
              </w:rPr>
              <w:t>统一社会信用代码：</w:t>
            </w:r>
          </w:p>
        </w:tc>
      </w:tr>
      <w:tr w14:paraId="1FBC087C">
        <w:tblPrEx>
          <w:tblCellMar>
            <w:top w:w="0" w:type="dxa"/>
            <w:left w:w="28" w:type="dxa"/>
            <w:bottom w:w="0" w:type="dxa"/>
            <w:right w:w="28" w:type="dxa"/>
          </w:tblCellMar>
        </w:tblPrEx>
        <w:trPr>
          <w:trHeight w:val="668" w:hRule="atLeast"/>
          <w:jc w:val="center"/>
        </w:trPr>
        <w:tc>
          <w:tcPr>
            <w:tcW w:w="4820" w:type="dxa"/>
            <w:noWrap w:val="0"/>
            <w:vAlign w:val="center"/>
          </w:tcPr>
          <w:p w14:paraId="7FFD5AFA">
            <w:pPr>
              <w:spacing w:line="360" w:lineRule="auto"/>
              <w:rPr>
                <w:rFonts w:hint="eastAsia" w:ascii="宋体" w:hAnsi="宋体" w:cs="宋体"/>
                <w:sz w:val="24"/>
                <w:szCs w:val="24"/>
              </w:rPr>
            </w:pPr>
            <w:r>
              <w:rPr>
                <w:rFonts w:hint="eastAsia" w:ascii="宋体" w:hAnsi="宋体" w:cs="宋体"/>
                <w:sz w:val="24"/>
                <w:szCs w:val="24"/>
              </w:rPr>
              <w:t>开户银行：工行三门峡分行</w:t>
            </w:r>
          </w:p>
        </w:tc>
        <w:tc>
          <w:tcPr>
            <w:tcW w:w="4540" w:type="dxa"/>
            <w:noWrap w:val="0"/>
            <w:vAlign w:val="center"/>
          </w:tcPr>
          <w:p w14:paraId="04C1F967">
            <w:pPr>
              <w:spacing w:line="360" w:lineRule="auto"/>
              <w:rPr>
                <w:rFonts w:hint="eastAsia" w:ascii="宋体" w:hAnsi="宋体" w:cs="宋体"/>
                <w:sz w:val="24"/>
                <w:szCs w:val="24"/>
              </w:rPr>
            </w:pPr>
            <w:r>
              <w:rPr>
                <w:rFonts w:hint="eastAsia" w:ascii="宋体" w:hAnsi="宋体" w:cs="宋体"/>
                <w:sz w:val="24"/>
                <w:szCs w:val="24"/>
              </w:rPr>
              <w:t>开户银行：</w:t>
            </w:r>
          </w:p>
        </w:tc>
      </w:tr>
      <w:tr w14:paraId="05075C0E">
        <w:tblPrEx>
          <w:tblCellMar>
            <w:top w:w="0" w:type="dxa"/>
            <w:left w:w="28" w:type="dxa"/>
            <w:bottom w:w="0" w:type="dxa"/>
            <w:right w:w="28" w:type="dxa"/>
          </w:tblCellMar>
        </w:tblPrEx>
        <w:trPr>
          <w:trHeight w:val="668" w:hRule="atLeast"/>
          <w:jc w:val="center"/>
        </w:trPr>
        <w:tc>
          <w:tcPr>
            <w:tcW w:w="4820" w:type="dxa"/>
            <w:noWrap w:val="0"/>
            <w:vAlign w:val="center"/>
          </w:tcPr>
          <w:p w14:paraId="59CBA503">
            <w:pPr>
              <w:spacing w:line="360" w:lineRule="auto"/>
              <w:rPr>
                <w:rFonts w:hint="eastAsia" w:ascii="宋体" w:hAnsi="宋体" w:cs="宋体"/>
                <w:sz w:val="24"/>
                <w:szCs w:val="24"/>
              </w:rPr>
            </w:pPr>
            <w:r>
              <w:rPr>
                <w:rFonts w:hint="eastAsia" w:ascii="宋体" w:hAnsi="宋体" w:cs="宋体"/>
                <w:sz w:val="24"/>
                <w:szCs w:val="24"/>
              </w:rPr>
              <w:t>银行帐号：1713022909200076156</w:t>
            </w:r>
          </w:p>
        </w:tc>
        <w:tc>
          <w:tcPr>
            <w:tcW w:w="4540" w:type="dxa"/>
            <w:noWrap w:val="0"/>
            <w:vAlign w:val="center"/>
          </w:tcPr>
          <w:p w14:paraId="5EF8773C">
            <w:pPr>
              <w:spacing w:line="360" w:lineRule="auto"/>
              <w:rPr>
                <w:rFonts w:hint="eastAsia" w:ascii="宋体" w:hAnsi="宋体" w:cs="宋体"/>
                <w:sz w:val="24"/>
                <w:szCs w:val="24"/>
              </w:rPr>
            </w:pPr>
            <w:r>
              <w:rPr>
                <w:rFonts w:hint="eastAsia" w:ascii="宋体" w:hAnsi="宋体" w:cs="宋体"/>
                <w:sz w:val="24"/>
                <w:szCs w:val="24"/>
              </w:rPr>
              <w:t>银行帐号：</w:t>
            </w:r>
          </w:p>
        </w:tc>
      </w:tr>
      <w:tr w14:paraId="3B5D61AB">
        <w:tblPrEx>
          <w:tblCellMar>
            <w:top w:w="0" w:type="dxa"/>
            <w:left w:w="28" w:type="dxa"/>
            <w:bottom w:w="0" w:type="dxa"/>
            <w:right w:w="28" w:type="dxa"/>
          </w:tblCellMar>
        </w:tblPrEx>
        <w:trPr>
          <w:trHeight w:val="767" w:hRule="atLeast"/>
          <w:jc w:val="center"/>
        </w:trPr>
        <w:tc>
          <w:tcPr>
            <w:tcW w:w="4820" w:type="dxa"/>
            <w:noWrap w:val="0"/>
            <w:vAlign w:val="center"/>
          </w:tcPr>
          <w:p w14:paraId="659941F4">
            <w:pPr>
              <w:spacing w:line="360" w:lineRule="auto"/>
              <w:rPr>
                <w:rFonts w:hint="eastAsia" w:ascii="宋体" w:hAnsi="宋体" w:cs="宋体"/>
                <w:sz w:val="24"/>
                <w:szCs w:val="24"/>
              </w:rPr>
            </w:pPr>
            <w:r>
              <w:rPr>
                <w:rFonts w:hint="eastAsia" w:ascii="宋体" w:hAnsi="宋体" w:cs="宋体"/>
                <w:sz w:val="24"/>
                <w:szCs w:val="24"/>
              </w:rPr>
              <w:t>联系或承办人(签字)：</w:t>
            </w:r>
          </w:p>
        </w:tc>
        <w:tc>
          <w:tcPr>
            <w:tcW w:w="4540" w:type="dxa"/>
            <w:noWrap w:val="0"/>
            <w:vAlign w:val="center"/>
          </w:tcPr>
          <w:p w14:paraId="67F5FE3B">
            <w:pPr>
              <w:spacing w:line="360" w:lineRule="auto"/>
              <w:rPr>
                <w:rFonts w:hint="eastAsia" w:ascii="宋体" w:hAnsi="宋体" w:cs="宋体"/>
                <w:sz w:val="24"/>
                <w:szCs w:val="24"/>
              </w:rPr>
            </w:pPr>
            <w:r>
              <w:rPr>
                <w:rFonts w:hint="eastAsia" w:ascii="宋体" w:hAnsi="宋体" w:cs="宋体"/>
                <w:sz w:val="24"/>
                <w:szCs w:val="24"/>
              </w:rPr>
              <w:t>联系或承办人(签字)：</w:t>
            </w:r>
          </w:p>
        </w:tc>
      </w:tr>
      <w:tr w14:paraId="6D2DC2D2">
        <w:tblPrEx>
          <w:tblCellMar>
            <w:top w:w="0" w:type="dxa"/>
            <w:left w:w="28" w:type="dxa"/>
            <w:bottom w:w="0" w:type="dxa"/>
            <w:right w:w="28" w:type="dxa"/>
          </w:tblCellMar>
        </w:tblPrEx>
        <w:trPr>
          <w:trHeight w:val="668" w:hRule="atLeast"/>
          <w:jc w:val="center"/>
        </w:trPr>
        <w:tc>
          <w:tcPr>
            <w:tcW w:w="4820" w:type="dxa"/>
            <w:noWrap w:val="0"/>
            <w:vAlign w:val="center"/>
          </w:tcPr>
          <w:p w14:paraId="66ADA221">
            <w:pPr>
              <w:spacing w:line="360" w:lineRule="auto"/>
              <w:rPr>
                <w:rFonts w:hint="eastAsia" w:ascii="宋体" w:hAnsi="宋体" w:cs="宋体"/>
                <w:sz w:val="24"/>
                <w:szCs w:val="24"/>
              </w:rPr>
            </w:pPr>
            <w:r>
              <w:rPr>
                <w:rFonts w:hint="eastAsia" w:ascii="宋体" w:hAnsi="宋体" w:cs="宋体"/>
                <w:sz w:val="24"/>
                <w:szCs w:val="24"/>
              </w:rPr>
              <w:t>电    话：</w:t>
            </w:r>
          </w:p>
        </w:tc>
        <w:tc>
          <w:tcPr>
            <w:tcW w:w="4540" w:type="dxa"/>
            <w:noWrap w:val="0"/>
            <w:vAlign w:val="center"/>
          </w:tcPr>
          <w:p w14:paraId="667AF0BA">
            <w:pPr>
              <w:spacing w:line="360" w:lineRule="auto"/>
              <w:rPr>
                <w:rFonts w:hint="eastAsia" w:ascii="宋体" w:hAnsi="宋体" w:cs="宋体"/>
                <w:sz w:val="24"/>
                <w:szCs w:val="24"/>
              </w:rPr>
            </w:pPr>
            <w:r>
              <w:rPr>
                <w:rFonts w:hint="eastAsia" w:ascii="宋体" w:hAnsi="宋体" w:cs="宋体"/>
                <w:sz w:val="24"/>
                <w:szCs w:val="24"/>
              </w:rPr>
              <w:t>电    话：</w:t>
            </w:r>
          </w:p>
        </w:tc>
      </w:tr>
    </w:tbl>
    <w:p w14:paraId="483F4ECD">
      <w:pPr>
        <w:adjustRightInd w:val="0"/>
        <w:snapToGrid w:val="0"/>
        <w:spacing w:line="360" w:lineRule="auto"/>
        <w:rPr>
          <w:rFonts w:hint="eastAsia" w:ascii="宋体" w:hAnsi="宋体"/>
          <w:sz w:val="28"/>
          <w:szCs w:val="28"/>
        </w:rPr>
      </w:pPr>
    </w:p>
    <w:p w14:paraId="0E14F8CE">
      <w:pPr>
        <w:adjustRightInd w:val="0"/>
        <w:snapToGrid w:val="0"/>
        <w:spacing w:line="360" w:lineRule="auto"/>
        <w:ind w:firstLine="360" w:firstLineChars="150"/>
        <w:rPr>
          <w:rFonts w:hint="eastAsia"/>
          <w:bCs/>
          <w:sz w:val="24"/>
          <w:szCs w:val="24"/>
        </w:rPr>
      </w:pPr>
    </w:p>
    <w:p w14:paraId="4470E8F6">
      <w:bookmarkStart w:id="17" w:name="_GoBack"/>
      <w:bookmarkEnd w:id="17"/>
    </w:p>
    <w:sectPr>
      <w:headerReference r:id="rId4" w:type="default"/>
      <w:footerReference r:id="rId5" w:type="default"/>
      <w:footerReference r:id="rId6" w:type="even"/>
      <w:pgSz w:w="11906" w:h="16838"/>
      <w:pgMar w:top="1440" w:right="1191" w:bottom="1440" w:left="1191"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华文中宋">
    <w:altName w:val="宋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62D3E">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AD6CBDC">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18</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14:paraId="6AD6CBDC">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18</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F46A0">
    <w:pPr>
      <w:pStyle w:val="7"/>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7B1B963">
                          <w:pPr>
                            <w:pStyle w:val="7"/>
                            <w:rPr>
                              <w:rStyle w:val="12"/>
                            </w:rPr>
                          </w:pPr>
                          <w:r>
                            <w:fldChar w:fldCharType="begin"/>
                          </w:r>
                          <w:r>
                            <w:rPr>
                              <w:rStyle w:val="12"/>
                            </w:rPr>
                            <w:instrText xml:space="preserve">PAGE  </w:instrText>
                          </w:r>
                          <w:r>
                            <w:fldChar w:fldCharType="separate"/>
                          </w:r>
                          <w:r>
                            <w:rPr>
                              <w:rStyle w:val="12"/>
                            </w:rPr>
                            <w:t>21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path/>
              <v:fill on="f" focussize="0,0"/>
              <v:stroke on="f" weight="1.25pt"/>
              <v:imagedata o:title=""/>
              <o:lock v:ext="edit" aspectratio="f"/>
              <v:textbox inset="0mm,0mm,0mm,0mm" style="mso-fit-shape-to-text:t;">
                <w:txbxContent>
                  <w:p w14:paraId="77B1B963">
                    <w:pPr>
                      <w:pStyle w:val="7"/>
                      <w:rPr>
                        <w:rStyle w:val="12"/>
                      </w:rPr>
                    </w:pPr>
                    <w:r>
                      <w:fldChar w:fldCharType="begin"/>
                    </w:r>
                    <w:r>
                      <w:rPr>
                        <w:rStyle w:val="12"/>
                      </w:rPr>
                      <w:instrText xml:space="preserve">PAGE  </w:instrText>
                    </w:r>
                    <w:r>
                      <w:fldChar w:fldCharType="separate"/>
                    </w:r>
                    <w:r>
                      <w:rPr>
                        <w:rStyle w:val="12"/>
                      </w:rPr>
                      <w:t>21</w:t>
                    </w:r>
                    <w:r>
                      <w:fldChar w:fldCharType="end"/>
                    </w:r>
                  </w:p>
                </w:txbxContent>
              </v:textbox>
            </v:shape>
          </w:pict>
        </mc:Fallback>
      </mc:AlternateContent>
    </w: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4EFB6">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0</w:t>
    </w:r>
    <w:r>
      <w:fldChar w:fldCharType="end"/>
    </w:r>
  </w:p>
  <w:p w14:paraId="78D31EA2">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4970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70B04F"/>
    <w:multiLevelType w:val="singleLevel"/>
    <w:tmpl w:val="5670B04F"/>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iMGYzMjNjYTY5Zjk0MTc4MzEwYTgwNjE2YWNjMzAifQ=="/>
  </w:docVars>
  <w:rsids>
    <w:rsidRoot w:val="00000000"/>
    <w:rsid w:val="23691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
    <w:pPr>
      <w:keepNext/>
      <w:keepLines/>
      <w:spacing w:before="340" w:beforeLines="0" w:after="330" w:afterLines="0" w:line="578" w:lineRule="auto"/>
      <w:outlineLvl w:val="0"/>
    </w:pPr>
    <w:rPr>
      <w:b/>
      <w:bCs/>
      <w:kern w:val="44"/>
      <w:sz w:val="44"/>
      <w:szCs w:val="44"/>
    </w:rPr>
  </w:style>
  <w:style w:type="paragraph" w:styleId="4">
    <w:name w:val="heading 2"/>
    <w:basedOn w:val="1"/>
    <w:next w:val="1"/>
    <w:qFormat/>
    <w:uiPriority w:val="9"/>
    <w:pPr>
      <w:keepNext/>
      <w:keepLines/>
      <w:spacing w:before="260" w:beforeLines="0" w:after="260" w:afterLines="0" w:line="416" w:lineRule="auto"/>
      <w:outlineLvl w:val="1"/>
    </w:pPr>
    <w:rPr>
      <w:rFonts w:ascii="Cambria" w:hAnsi="Cambria"/>
      <w:b/>
      <w:bCs/>
      <w:sz w:val="32"/>
      <w:szCs w:val="32"/>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Message Header"/>
    <w:basedOn w:val="1"/>
    <w:next w:val="1"/>
    <w:qFormat/>
    <w:uiPriority w:val="0"/>
    <w:pPr>
      <w:pBdr>
        <w:top w:val="none" w:color="auto" w:sz="0" w:space="1"/>
        <w:left w:val="none" w:color="auto" w:sz="0" w:space="1"/>
        <w:bottom w:val="none" w:color="auto" w:sz="0" w:space="1"/>
        <w:right w:val="none" w:color="auto" w:sz="0" w:space="1"/>
      </w:pBdr>
      <w:shd w:val="clear" w:color="auto" w:fill="auto"/>
      <w:ind w:left="1080" w:leftChars="500" w:hanging="1080" w:hangingChars="500"/>
    </w:pPr>
    <w:rPr>
      <w:rFonts w:ascii="Arial" w:hAnsi="Arial"/>
      <w:sz w:val="24"/>
    </w:rPr>
  </w:style>
  <w:style w:type="paragraph" w:styleId="5">
    <w:name w:val="Body Text"/>
    <w:basedOn w:val="1"/>
    <w:uiPriority w:val="0"/>
    <w:pPr>
      <w:widowControl/>
      <w:tabs>
        <w:tab w:val="left" w:pos="0"/>
        <w:tab w:val="left" w:pos="993"/>
        <w:tab w:val="left" w:pos="1134"/>
      </w:tabs>
      <w:spacing w:line="500" w:lineRule="exact"/>
    </w:pPr>
    <w:rPr>
      <w:rFonts w:ascii="宋体"/>
      <w:kern w:val="0"/>
      <w:sz w:val="28"/>
    </w:rPr>
  </w:style>
  <w:style w:type="paragraph" w:styleId="6">
    <w:name w:val="Date"/>
    <w:basedOn w:val="1"/>
    <w:next w:val="1"/>
    <w:uiPriority w:val="0"/>
    <w:pPr>
      <w:ind w:left="100" w:leftChars="2500"/>
    </w:pPr>
  </w:style>
  <w:style w:type="paragraph" w:styleId="7">
    <w:name w:val="footer"/>
    <w:basedOn w:val="1"/>
    <w:uiPriority w:val="0"/>
    <w:pPr>
      <w:tabs>
        <w:tab w:val="center" w:pos="4153"/>
        <w:tab w:val="right" w:pos="8306"/>
      </w:tabs>
      <w:snapToGrid w:val="0"/>
      <w:jc w:val="left"/>
    </w:pPr>
    <w:rPr>
      <w:sz w:val="18"/>
    </w:rPr>
  </w:style>
  <w:style w:type="paragraph" w:styleId="8">
    <w:name w:val="Normal (Web)"/>
    <w:basedOn w:val="1"/>
    <w:unhideWhenUsed/>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kern w:val="2"/>
      <w:sz w:val="24"/>
      <w:szCs w:val="24"/>
      <w:lang w:val="en-US" w:eastAsia="zh-CN" w:bidi="ar"/>
    </w:rPr>
  </w:style>
  <w:style w:type="paragraph" w:styleId="9">
    <w:name w:val="Title"/>
    <w:basedOn w:val="1"/>
    <w:next w:val="1"/>
    <w:qFormat/>
    <w:uiPriority w:val="0"/>
    <w:pPr>
      <w:spacing w:line="360" w:lineRule="auto"/>
      <w:jc w:val="center"/>
      <w:outlineLvl w:val="0"/>
    </w:pPr>
    <w:rPr>
      <w:rFonts w:ascii="Cambria" w:hAnsi="Cambria" w:eastAsia="黑体"/>
      <w:bCs/>
      <w:kern w:val="0"/>
      <w:sz w:val="36"/>
      <w:szCs w:val="32"/>
    </w:rPr>
  </w:style>
  <w:style w:type="character" w:styleId="12">
    <w:name w:val="page number"/>
    <w:basedOn w:val="11"/>
    <w:uiPriority w:val="0"/>
  </w:style>
  <w:style w:type="paragraph" w:customStyle="1" w:styleId="13">
    <w:name w:val="标题2"/>
    <w:basedOn w:val="4"/>
    <w:link w:val="14"/>
    <w:qFormat/>
    <w:uiPriority w:val="0"/>
    <w:pPr>
      <w:spacing w:before="0" w:beforeLines="0" w:after="0" w:afterLines="0" w:line="360" w:lineRule="auto"/>
      <w:jc w:val="left"/>
    </w:pPr>
    <w:rPr>
      <w:rFonts w:ascii="黑体" w:hAnsi="Courier New" w:eastAsia="黑体"/>
      <w:b w:val="0"/>
      <w:sz w:val="28"/>
      <w:lang w:val="zh-CN"/>
    </w:rPr>
  </w:style>
  <w:style w:type="character" w:customStyle="1" w:styleId="14">
    <w:name w:val="标题2 Char Char"/>
    <w:link w:val="13"/>
    <w:uiPriority w:val="0"/>
    <w:rPr>
      <w:rFonts w:ascii="黑体" w:hAnsi="Courier New" w:eastAsia="黑体"/>
      <w:sz w:val="28"/>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2024-07-26T06:05:45Z</dcterms:created>
  <dc:creator>lenovo</dc:creator>
  <cp:lastModifiedBy>lenovo</cp:lastModifiedBy>
  <dcterms:modified xsi:type="dcterms:W3CDTF">2024-07-26T06:06:10Z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2E0356439B894A9E90E35FEBADC5A038_12</vt:lpwstr>
  </property>
</Properties>
</file>