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  <w:bookmarkStart w:id="1" w:name="_GoBack"/>
      <w:bookmarkEnd w:id="1"/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57FF9AC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2025年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白银长单销售报价公告</w:t>
      </w:r>
    </w:p>
    <w:p w14:paraId="6BA18D8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</w:rPr>
        <w:t>我公司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将于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2024年12月16日进行2025年白银长单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销售报价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(12吨/月）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</w:rPr>
        <w:t>公司厂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内仓库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</w:rPr>
        <w:t>自提（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河南省三门峡市产业集聚区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</w:rPr>
        <w:t>）。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 xml:space="preserve"> </w:t>
      </w:r>
    </w:p>
    <w:p w14:paraId="2CE7A621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1、2025年1月21日起至2026年1月20日止，共12批；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根据我司安排月提货量需一次提完；</w:t>
      </w:r>
    </w:p>
    <w:p w14:paraId="078ED148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2024年12月16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hint="eastAsia" w:ascii="仿宋" w:hAnsi="仿宋" w:eastAsia="仿宋" w:cs="仿宋"/>
          <w:color w:val="auto"/>
          <w:sz w:val="28"/>
          <w:szCs w:val="28"/>
        </w:rPr>
        <w:t>fkb@zysmelter.com</w:t>
      </w:r>
      <w:bookmarkEnd w:id="0"/>
    </w:p>
    <w:p w14:paraId="3FF2EA2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3、报价单中每项内容必须填写完整，准确；请报价单位发邮件时标注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：2025年白银长单报价+企业全称 字样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。</w:t>
      </w:r>
    </w:p>
    <w:p w14:paraId="373ED9C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4、根据我司规定，签约单位需按投货量货值的5%作为当月提货履约保证金，并与起始日起3个工作日汇入我司账户。保证金收款账户：</w:t>
      </w:r>
    </w:p>
    <w:p w14:paraId="12EE88AA">
      <w:pPr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11D7BE6A">
      <w:pPr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598E9A17">
      <w:pPr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2D58051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    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河南中原黄金冶炼厂有限责任公司</w:t>
      </w:r>
    </w:p>
    <w:p w14:paraId="437344B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 xml:space="preserve">                                2024年12月6日</w:t>
      </w:r>
    </w:p>
    <w:p w14:paraId="229A212A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392800F2">
      <w:pPr>
        <w:rPr>
          <w:rFonts w:hint="eastAsia"/>
        </w:rPr>
      </w:pPr>
    </w:p>
    <w:p w14:paraId="2846E065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53863C1C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白银长单采购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15DBAFE1">
      <w:pPr>
        <w:jc w:val="center"/>
        <w:rPr>
          <w:rFonts w:hint="eastAsia"/>
          <w:b/>
          <w:sz w:val="28"/>
          <w:szCs w:val="28"/>
        </w:rPr>
      </w:pPr>
    </w:p>
    <w:p w14:paraId="5BC7369A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105"/>
        <w:gridCol w:w="981"/>
        <w:gridCol w:w="2319"/>
        <w:gridCol w:w="1090"/>
        <w:gridCol w:w="1023"/>
        <w:gridCol w:w="1191"/>
      </w:tblGrid>
      <w:tr w14:paraId="525CC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09CBA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D26C0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6B9FA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27DB7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D3AF4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kg/月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E5CA7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31B65F40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E42CB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4CE72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4EAF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“中金”牌</w:t>
            </w:r>
          </w:p>
          <w:p w14:paraId="6164322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37F1B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2824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CC625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上海华通现货白银一号国标定盘价（当月21日-次月20日）均价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07DA5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7A0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E63E4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28F4D66D">
      <w:pPr>
        <w:rPr>
          <w:rFonts w:hint="eastAsia"/>
        </w:rPr>
      </w:pPr>
      <w:r>
        <w:rPr>
          <w:rFonts w:hint="eastAsia"/>
        </w:rPr>
        <w:t xml:space="preserve">  </w:t>
      </w:r>
    </w:p>
    <w:p w14:paraId="18775767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46E2E16A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A53C9D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26C52239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0BE7C9BD">
      <w:pPr>
        <w:ind w:firstLine="4006" w:firstLineChars="1900"/>
        <w:rPr>
          <w:rFonts w:hint="eastAsia" w:ascii="黑体" w:eastAsia="黑体"/>
          <w:b/>
          <w:szCs w:val="21"/>
        </w:rPr>
      </w:pP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213" w:right="1519" w:bottom="1213" w:left="1519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398426E"/>
    <w:rsid w:val="04C62A03"/>
    <w:rsid w:val="06240694"/>
    <w:rsid w:val="08B87F94"/>
    <w:rsid w:val="09B376E1"/>
    <w:rsid w:val="09F64390"/>
    <w:rsid w:val="20E0605C"/>
    <w:rsid w:val="22FA2FCE"/>
    <w:rsid w:val="2394545B"/>
    <w:rsid w:val="2AB82CDC"/>
    <w:rsid w:val="38C0496C"/>
    <w:rsid w:val="58FE3650"/>
    <w:rsid w:val="5D045E07"/>
    <w:rsid w:val="5F7A57AC"/>
    <w:rsid w:val="63286355"/>
    <w:rsid w:val="72CD0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630</Characters>
  <Lines>0</Lines>
  <Paragraphs>0</Paragraphs>
  <TotalTime>426</TotalTime>
  <ScaleCrop>false</ScaleCrop>
  <LinksUpToDate>false</LinksUpToDate>
  <CharactersWithSpaces>949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2024-12-06T08:49:02Z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78DAB40A237045CEAFC1111CFF1C9EED_12</vt:lpwstr>
  </property>
</Properties>
</file>