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谈判项目要求</w:t>
      </w:r>
    </w:p>
    <w:p>
      <w:p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eastAsia="zh-CN"/>
        </w:rPr>
        <w:t>一、项目概况</w:t>
      </w:r>
    </w:p>
    <w:p>
      <w:pPr>
        <w:spacing w:line="360" w:lineRule="auto"/>
        <w:rPr>
          <w:rFonts w:hint="eastAsia" w:ascii="仿宋" w:hAnsi="仿宋" w:eastAsia="仿宋" w:cs="仿宋"/>
          <w:sz w:val="28"/>
          <w:szCs w:val="28"/>
          <w:lang w:val="en-US" w:eastAsia="zh-CN"/>
        </w:rPr>
      </w:pPr>
      <w:r>
        <w:rPr>
          <w:rFonts w:hint="eastAsia" w:ascii="仿宋" w:hAnsi="仿宋" w:eastAsia="仿宋" w:cs="仿宋"/>
          <w:sz w:val="28"/>
          <w:szCs w:val="28"/>
        </w:rPr>
        <w:t>河南中原黄金冶炼厂有限责任公司</w:t>
      </w:r>
      <w:r>
        <w:rPr>
          <w:rFonts w:hint="eastAsia" w:ascii="仿宋" w:hAnsi="仿宋" w:eastAsia="仿宋" w:cs="仿宋"/>
          <w:sz w:val="28"/>
          <w:szCs w:val="28"/>
          <w:lang w:eastAsia="zh-CN"/>
        </w:rPr>
        <w:t>现对该谈判</w:t>
      </w:r>
      <w:r>
        <w:rPr>
          <w:rFonts w:hint="eastAsia" w:ascii="仿宋" w:hAnsi="仿宋" w:eastAsia="仿宋" w:cs="仿宋"/>
          <w:sz w:val="28"/>
          <w:szCs w:val="28"/>
          <w:lang w:val="en-US" w:eastAsia="zh-CN"/>
        </w:rPr>
        <w:t>项目公开公示</w:t>
      </w:r>
      <w:r>
        <w:rPr>
          <w:rFonts w:hint="eastAsia" w:ascii="仿宋" w:hAnsi="仿宋" w:eastAsia="仿宋" w:cs="仿宋"/>
          <w:sz w:val="28"/>
          <w:szCs w:val="28"/>
        </w:rPr>
        <w:t>，请有</w:t>
      </w:r>
      <w:r>
        <w:rPr>
          <w:rFonts w:hint="eastAsia" w:ascii="仿宋" w:hAnsi="仿宋" w:eastAsia="仿宋" w:cs="仿宋"/>
          <w:sz w:val="28"/>
          <w:szCs w:val="28"/>
          <w:lang w:eastAsia="zh-CN"/>
        </w:rPr>
        <w:t>参与</w:t>
      </w:r>
      <w:r>
        <w:rPr>
          <w:rFonts w:hint="eastAsia" w:ascii="仿宋" w:hAnsi="仿宋" w:eastAsia="仿宋" w:cs="仿宋"/>
          <w:sz w:val="28"/>
          <w:szCs w:val="28"/>
        </w:rPr>
        <w:t>意向的供应商提交</w:t>
      </w:r>
      <w:r>
        <w:rPr>
          <w:rFonts w:hint="eastAsia" w:ascii="仿宋" w:hAnsi="仿宋" w:eastAsia="仿宋" w:cs="仿宋"/>
          <w:sz w:val="28"/>
          <w:szCs w:val="28"/>
          <w:lang w:eastAsia="zh-CN"/>
        </w:rPr>
        <w:t>报名表和相关资质文件</w:t>
      </w:r>
      <w:r>
        <w:rPr>
          <w:rFonts w:hint="eastAsia" w:ascii="仿宋" w:hAnsi="仿宋" w:eastAsia="仿宋" w:cs="仿宋"/>
          <w:sz w:val="28"/>
          <w:szCs w:val="28"/>
        </w:rPr>
        <w:t>。</w:t>
      </w:r>
    </w:p>
    <w:p>
      <w:pPr>
        <w:numPr>
          <w:ilvl w:val="0"/>
          <w:numId w:val="1"/>
        </w:num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谈判项目编号：</w:t>
      </w:r>
      <w:r>
        <w:rPr>
          <w:rFonts w:hint="eastAsia" w:ascii="仿宋" w:hAnsi="仿宋" w:eastAsia="仿宋" w:cs="仿宋"/>
          <w:sz w:val="28"/>
          <w:szCs w:val="28"/>
          <w:highlight w:val="none"/>
          <w:u w:val="single"/>
          <w:lang w:val="en-US" w:eastAsia="zh-CN"/>
        </w:rPr>
        <w:tab/>
      </w:r>
      <w:r>
        <w:rPr>
          <w:rFonts w:hint="eastAsia" w:ascii="仿宋" w:hAnsi="仿宋" w:eastAsia="仿宋" w:cs="仿宋"/>
          <w:sz w:val="28"/>
          <w:szCs w:val="28"/>
          <w:highlight w:val="none"/>
          <w:u w:val="single"/>
          <w:lang w:val="en-US" w:eastAsia="zh-CN"/>
        </w:rPr>
        <w:t>CGB2024444</w:t>
      </w:r>
      <w:r>
        <w:rPr>
          <w:rFonts w:hint="eastAsia" w:ascii="仿宋" w:hAnsi="仿宋" w:eastAsia="仿宋" w:cs="仿宋"/>
          <w:sz w:val="28"/>
          <w:szCs w:val="28"/>
          <w:highlight w:val="none"/>
          <w:u w:val="none"/>
          <w:lang w:val="en-US" w:eastAsia="zh-CN"/>
        </w:rPr>
        <w:t>。</w:t>
      </w:r>
      <w:bookmarkStart w:id="11" w:name="_GoBack"/>
      <w:bookmarkEnd w:id="11"/>
    </w:p>
    <w:p>
      <w:pPr>
        <w:numPr>
          <w:ilvl w:val="0"/>
          <w:numId w:val="1"/>
        </w:numPr>
        <w:spacing w:line="360" w:lineRule="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项目名称：河南中原黄金冶炼厂有限责任公司</w:t>
      </w:r>
      <w:bookmarkStart w:id="0" w:name="OLE_LINK1"/>
      <w:r>
        <w:rPr>
          <w:rFonts w:hint="eastAsia" w:ascii="仿宋" w:hAnsi="仿宋" w:eastAsia="仿宋" w:cs="仿宋"/>
          <w:sz w:val="28"/>
          <w:szCs w:val="28"/>
          <w:u w:val="single"/>
          <w:lang w:val="en-US" w:eastAsia="zh-CN"/>
        </w:rPr>
        <w:t>（</w:t>
      </w:r>
      <w:bookmarkStart w:id="1" w:name="OLE_LINK7"/>
      <w:r>
        <w:rPr>
          <w:rFonts w:hint="eastAsia" w:ascii="仿宋" w:hAnsi="仿宋" w:eastAsia="仿宋" w:cs="仿宋"/>
          <w:sz w:val="28"/>
          <w:szCs w:val="28"/>
          <w:u w:val="single"/>
          <w:lang w:val="en-US" w:eastAsia="zh-CN"/>
        </w:rPr>
        <w:t>河南中原黄金冶炼厂有限责任公司源网荷储屋顶光伏项目</w:t>
      </w:r>
      <w:bookmarkEnd w:id="1"/>
      <w:r>
        <w:rPr>
          <w:rFonts w:hint="eastAsia" w:ascii="仿宋" w:hAnsi="仿宋" w:eastAsia="仿宋" w:cs="仿宋"/>
          <w:sz w:val="28"/>
          <w:szCs w:val="28"/>
          <w:u w:val="single"/>
          <w:lang w:val="en-US" w:eastAsia="zh-CN"/>
        </w:rPr>
        <w:t>）</w:t>
      </w:r>
      <w:bookmarkEnd w:id="0"/>
      <w:r>
        <w:rPr>
          <w:rFonts w:hint="eastAsia" w:ascii="仿宋" w:hAnsi="仿宋" w:eastAsia="仿宋" w:cs="仿宋"/>
          <w:sz w:val="28"/>
          <w:szCs w:val="28"/>
          <w:lang w:val="en-US" w:eastAsia="zh-CN"/>
        </w:rPr>
        <w:t>。</w:t>
      </w:r>
    </w:p>
    <w:p>
      <w:pPr>
        <w:numPr>
          <w:ilvl w:val="0"/>
          <w:numId w:val="1"/>
        </w:numPr>
        <w:spacing w:line="360" w:lineRule="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业务管理部门:</w:t>
      </w:r>
      <w:r>
        <w:rPr>
          <w:rFonts w:hint="eastAsia" w:ascii="仿宋" w:hAnsi="仿宋" w:eastAsia="仿宋" w:cs="仿宋"/>
          <w:sz w:val="28"/>
          <w:szCs w:val="28"/>
          <w:u w:val="single"/>
          <w:lang w:val="en-US" w:eastAsia="zh-CN"/>
        </w:rPr>
        <w:t>设备能源计量部</w:t>
      </w:r>
      <w:r>
        <w:rPr>
          <w:rFonts w:hint="eastAsia" w:ascii="仿宋" w:hAnsi="仿宋" w:eastAsia="仿宋" w:cs="仿宋"/>
          <w:sz w:val="28"/>
          <w:szCs w:val="28"/>
          <w:u w:val="single"/>
          <w:lang w:val="en-US" w:eastAsia="zh-CN"/>
        </w:rPr>
        <w:tab/>
      </w:r>
      <w:r>
        <w:rPr>
          <w:rFonts w:hint="eastAsia" w:ascii="仿宋" w:hAnsi="仿宋" w:eastAsia="仿宋" w:cs="仿宋"/>
          <w:sz w:val="28"/>
          <w:szCs w:val="28"/>
          <w:u w:val="none"/>
          <w:lang w:val="en-US" w:eastAsia="zh-CN"/>
        </w:rPr>
        <w:t>。</w:t>
      </w:r>
    </w:p>
    <w:p>
      <w:pPr>
        <w:numPr>
          <w:ilvl w:val="0"/>
          <w:numId w:val="0"/>
        </w:numPr>
        <w:spacing w:line="360" w:lineRule="auto"/>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项目内容：</w:t>
      </w:r>
    </w:p>
    <w:p>
      <w:pPr>
        <w:numPr>
          <w:ilvl w:val="0"/>
          <w:numId w:val="0"/>
        </w:numPr>
        <w:spacing w:line="360" w:lineRule="auto"/>
        <w:ind w:firstLine="560" w:firstLineChars="20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河南中原黄金冶炼厂有限责任公司源网荷储屋顶光伏项目，项目在厂区自有建筑及空地建设屋顶光伏及车棚光伏，拟采用630Wp</w:t>
      </w:r>
      <w:r>
        <w:rPr>
          <w:rFonts w:hint="default" w:ascii="仿宋" w:hAnsi="仿宋" w:eastAsia="仿宋" w:cs="仿宋"/>
          <w:sz w:val="28"/>
          <w:szCs w:val="28"/>
          <w:lang w:eastAsia="zh-CN"/>
        </w:rPr>
        <w:t>级以上</w:t>
      </w:r>
      <w:r>
        <w:rPr>
          <w:rFonts w:hint="default" w:ascii="仿宋" w:hAnsi="仿宋" w:eastAsia="仿宋" w:cs="仿宋"/>
          <w:sz w:val="28"/>
          <w:szCs w:val="28"/>
          <w:lang w:val="en-US" w:eastAsia="zh-CN"/>
        </w:rPr>
        <w:t>组件，容量约为20MWp，项目并网电压等级为400V，采取多点并网</w:t>
      </w:r>
      <w:r>
        <w:rPr>
          <w:rFonts w:hint="eastAsia" w:ascii="仿宋" w:hAnsi="仿宋" w:eastAsia="仿宋" w:cs="仿宋"/>
          <w:sz w:val="28"/>
          <w:szCs w:val="28"/>
          <w:lang w:val="en-US" w:eastAsia="zh-CN"/>
        </w:rPr>
        <w:t>。</w:t>
      </w:r>
    </w:p>
    <w:p>
      <w:pPr>
        <w:numPr>
          <w:ilvl w:val="0"/>
          <w:numId w:val="2"/>
        </w:numPr>
        <w:spacing w:line="360" w:lineRule="auto"/>
        <w:ind w:left="0" w:leftChars="0" w:firstLine="0" w:firstLineChars="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项目要求</w:t>
      </w:r>
    </w:p>
    <w:p>
      <w:pPr>
        <w:numPr>
          <w:ilvl w:val="0"/>
          <w:numId w:val="3"/>
        </w:numPr>
        <w:spacing w:line="360" w:lineRule="auto"/>
        <w:ind w:leftChars="0"/>
        <w:jc w:val="both"/>
        <w:rPr>
          <w:rFonts w:hint="default" w:ascii="仿宋" w:hAnsi="仿宋" w:eastAsia="仿宋" w:cs="仿宋"/>
          <w:sz w:val="28"/>
          <w:szCs w:val="28"/>
          <w:highlight w:val="none"/>
          <w:lang w:val="en-US" w:eastAsia="zh-CN"/>
        </w:rPr>
      </w:pPr>
      <w:bookmarkStart w:id="2" w:name="OLE_LINK12"/>
      <w:r>
        <w:rPr>
          <w:rFonts w:hint="eastAsia" w:ascii="仿宋" w:hAnsi="仿宋" w:eastAsia="仿宋" w:cs="仿宋"/>
          <w:sz w:val="28"/>
          <w:szCs w:val="28"/>
          <w:highlight w:val="none"/>
          <w:lang w:val="en-US" w:eastAsia="zh-CN"/>
        </w:rPr>
        <w:t>资质要求：</w:t>
      </w:r>
      <w:r>
        <w:rPr>
          <w:rFonts w:hint="eastAsia" w:ascii="仿宋" w:hAnsi="仿宋" w:eastAsia="仿宋" w:cs="仿宋"/>
          <w:sz w:val="28"/>
          <w:szCs w:val="28"/>
          <w:highlight w:val="none"/>
          <w:u w:val="single"/>
          <w:lang w:val="en-US" w:eastAsia="zh-CN"/>
        </w:rPr>
        <w:t>应答人应具有工程设计电力行业(新能源发电)专业乙级及以上资质，并具有工程咨询单位乙级及以上资信证书或全国投资项目在线审批监管平台工程咨询单位备案。</w:t>
      </w:r>
    </w:p>
    <w:p>
      <w:pPr>
        <w:numPr>
          <w:ilvl w:val="0"/>
          <w:numId w:val="3"/>
        </w:numPr>
        <w:spacing w:line="360" w:lineRule="auto"/>
        <w:ind w:leftChars="0"/>
        <w:jc w:val="both"/>
        <w:rPr>
          <w:rFonts w:hint="default" w:ascii="仿宋" w:hAnsi="仿宋" w:eastAsia="仿宋" w:cs="仿宋"/>
          <w:sz w:val="28"/>
          <w:szCs w:val="28"/>
          <w:highlight w:val="none"/>
          <w:lang w:val="en-US" w:eastAsia="zh-CN"/>
        </w:rPr>
      </w:pPr>
      <w:r>
        <w:rPr>
          <w:rFonts w:hint="default" w:ascii="仿宋" w:hAnsi="仿宋" w:eastAsia="仿宋" w:cs="仿宋"/>
          <w:sz w:val="28"/>
          <w:szCs w:val="28"/>
          <w:highlight w:val="none"/>
          <w:lang w:val="en-US" w:eastAsia="zh-CN"/>
        </w:rPr>
        <w:t>业绩要求：</w:t>
      </w:r>
      <w:r>
        <w:rPr>
          <w:rFonts w:hint="eastAsia" w:ascii="仿宋" w:hAnsi="仿宋" w:eastAsia="仿宋" w:cs="仿宋"/>
          <w:sz w:val="28"/>
          <w:szCs w:val="28"/>
          <w:highlight w:val="none"/>
          <w:u w:val="single"/>
          <w:lang w:val="en-US" w:eastAsia="zh-CN"/>
        </w:rPr>
        <w:t>应答人近5年内应具备不少于2项分布式屋顶光伏可研报告编制服务业绩（提供合同扫描件）</w:t>
      </w:r>
      <w:r>
        <w:rPr>
          <w:rFonts w:hint="default" w:ascii="仿宋" w:hAnsi="仿宋" w:eastAsia="仿宋" w:cs="仿宋"/>
          <w:sz w:val="28"/>
          <w:szCs w:val="28"/>
          <w:highlight w:val="none"/>
          <w:lang w:val="en-US" w:eastAsia="zh-CN"/>
        </w:rPr>
        <w:t>。</w:t>
      </w:r>
    </w:p>
    <w:bookmarkEnd w:id="2"/>
    <w:p>
      <w:pPr>
        <w:numPr>
          <w:ilvl w:val="0"/>
          <w:numId w:val="3"/>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税率</w:t>
      </w:r>
      <w:r>
        <w:rPr>
          <w:rFonts w:hint="eastAsia" w:ascii="仿宋" w:hAnsi="仿宋" w:eastAsia="仿宋" w:cs="仿宋"/>
          <w:sz w:val="28"/>
          <w:szCs w:val="28"/>
          <w:lang w:val="en-US" w:eastAsia="zh-CN"/>
        </w:rPr>
        <w:t>及价格</w:t>
      </w:r>
      <w:r>
        <w:rPr>
          <w:rFonts w:hint="default" w:ascii="仿宋" w:hAnsi="仿宋" w:eastAsia="仿宋" w:cs="仿宋"/>
          <w:sz w:val="28"/>
          <w:szCs w:val="28"/>
          <w:lang w:val="en-US" w:eastAsia="zh-CN"/>
        </w:rPr>
        <w:t>：所有含税价格均为含</w:t>
      </w:r>
      <w:r>
        <w:rPr>
          <w:rFonts w:hint="eastAsia" w:ascii="仿宋" w:hAnsi="仿宋" w:eastAsia="仿宋" w:cs="仿宋"/>
          <w:sz w:val="28"/>
          <w:szCs w:val="28"/>
          <w:u w:val="single"/>
          <w:lang w:val="en-US" w:eastAsia="zh-CN"/>
        </w:rPr>
        <w:tab/>
      </w:r>
      <w:r>
        <w:rPr>
          <w:rFonts w:hint="eastAsia" w:ascii="仿宋" w:hAnsi="仿宋" w:eastAsia="仿宋" w:cs="仿宋"/>
          <w:sz w:val="28"/>
          <w:szCs w:val="28"/>
          <w:u w:val="single"/>
          <w:lang w:val="en-US" w:eastAsia="zh-CN"/>
        </w:rPr>
        <w:t>6%（允许偏离）</w:t>
      </w:r>
      <w:r>
        <w:rPr>
          <w:rFonts w:hint="default" w:ascii="仿宋" w:hAnsi="仿宋" w:eastAsia="仿宋" w:cs="仿宋"/>
          <w:sz w:val="28"/>
          <w:szCs w:val="28"/>
          <w:lang w:val="en-US" w:eastAsia="zh-CN"/>
        </w:rPr>
        <w:t>增值税专用发</w:t>
      </w:r>
      <w:bookmarkStart w:id="3" w:name="OLE_LINK19"/>
      <w:r>
        <w:rPr>
          <w:rFonts w:hint="default" w:ascii="仿宋" w:hAnsi="仿宋" w:eastAsia="仿宋" w:cs="仿宋"/>
          <w:sz w:val="28"/>
          <w:szCs w:val="28"/>
          <w:lang w:val="en-US" w:eastAsia="zh-CN"/>
        </w:rPr>
        <w:t>票价格</w:t>
      </w:r>
      <w:r>
        <w:rPr>
          <w:rFonts w:hint="eastAsia" w:ascii="仿宋" w:hAnsi="仿宋" w:eastAsia="仿宋" w:cs="仿宋"/>
          <w:sz w:val="28"/>
          <w:szCs w:val="28"/>
          <w:lang w:val="en-US" w:eastAsia="zh-CN"/>
        </w:rPr>
        <w:t>，</w:t>
      </w:r>
      <w:r>
        <w:rPr>
          <w:rFonts w:hint="default" w:ascii="仿宋" w:hAnsi="仿宋" w:eastAsia="仿宋" w:cs="仿宋"/>
          <w:sz w:val="28"/>
          <w:szCs w:val="28"/>
          <w:lang w:val="en-US" w:eastAsia="zh-CN"/>
        </w:rPr>
        <w:t>根据现场实际进行计算</w:t>
      </w:r>
      <w:r>
        <w:rPr>
          <w:rFonts w:hint="eastAsia" w:ascii="仿宋" w:hAnsi="仿宋" w:eastAsia="仿宋" w:cs="仿宋"/>
          <w:sz w:val="28"/>
          <w:szCs w:val="28"/>
          <w:lang w:val="en-US" w:eastAsia="zh-CN"/>
        </w:rPr>
        <w:t>。</w:t>
      </w:r>
    </w:p>
    <w:p>
      <w:pPr>
        <w:numPr>
          <w:ilvl w:val="0"/>
          <w:numId w:val="3"/>
        </w:numPr>
        <w:spacing w:line="360" w:lineRule="auto"/>
        <w:ind w:leftChars="0"/>
        <w:jc w:val="both"/>
        <w:rPr>
          <w:rFonts w:hint="default" w:ascii="仿宋" w:hAnsi="仿宋" w:eastAsia="仿宋" w:cs="仿宋"/>
          <w:sz w:val="28"/>
          <w:szCs w:val="28"/>
          <w:u w:val="single"/>
          <w:lang w:val="en-US" w:eastAsia="zh-CN"/>
        </w:rPr>
      </w:pPr>
      <w:r>
        <w:rPr>
          <w:rFonts w:hint="eastAsia" w:ascii="仿宋" w:hAnsi="仿宋" w:eastAsia="仿宋" w:cs="仿宋"/>
          <w:sz w:val="28"/>
          <w:szCs w:val="28"/>
          <w:highlight w:val="none"/>
          <w:lang w:val="en-US" w:eastAsia="zh-CN"/>
        </w:rPr>
        <w:t>质保期：</w:t>
      </w:r>
      <w:r>
        <w:rPr>
          <w:rFonts w:hint="eastAsia" w:ascii="仿宋" w:hAnsi="仿宋" w:eastAsia="仿宋" w:cs="仿宋"/>
          <w:sz w:val="28"/>
          <w:szCs w:val="28"/>
          <w:highlight w:val="none"/>
          <w:u w:val="single"/>
          <w:lang w:val="en-US" w:eastAsia="zh-CN"/>
        </w:rPr>
        <w:t>乙方中标后完成项目可行性研究工作，并配合甲方完成</w:t>
      </w:r>
      <w:r>
        <w:rPr>
          <w:rFonts w:hint="default" w:ascii="仿宋" w:hAnsi="仿宋" w:eastAsia="仿宋" w:cs="仿宋"/>
          <w:sz w:val="28"/>
          <w:szCs w:val="28"/>
          <w:highlight w:val="none"/>
          <w:u w:val="single"/>
          <w:lang w:eastAsia="zh-CN"/>
        </w:rPr>
        <w:t>源网荷储等</w:t>
      </w:r>
      <w:r>
        <w:rPr>
          <w:rFonts w:hint="eastAsia" w:ascii="仿宋" w:hAnsi="仿宋" w:eastAsia="仿宋" w:cs="仿宋"/>
          <w:sz w:val="28"/>
          <w:szCs w:val="28"/>
          <w:highlight w:val="none"/>
          <w:u w:val="single"/>
          <w:lang w:val="en-US" w:eastAsia="zh-CN"/>
        </w:rPr>
        <w:t>申报工作。</w:t>
      </w:r>
    </w:p>
    <w:p>
      <w:pPr>
        <w:numPr>
          <w:ilvl w:val="0"/>
          <w:numId w:val="3"/>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付款方式：</w:t>
      </w:r>
      <w:r>
        <w:rPr>
          <w:rFonts w:hint="default" w:ascii="仿宋" w:hAnsi="仿宋" w:eastAsia="仿宋" w:cs="仿宋"/>
          <w:sz w:val="28"/>
          <w:szCs w:val="28"/>
          <w:u w:val="single"/>
          <w:lang w:val="en-US" w:eastAsia="zh-CN"/>
        </w:rPr>
        <w:t>双方确认结束后,乙方开据全额6%增值税专用票</w:t>
      </w:r>
      <w:r>
        <w:rPr>
          <w:rFonts w:hint="default" w:ascii="仿宋" w:hAnsi="仿宋" w:eastAsia="仿宋" w:cs="仿宋"/>
          <w:sz w:val="28"/>
          <w:szCs w:val="28"/>
          <w:u w:val="single"/>
          <w:lang w:eastAsia="zh-CN"/>
        </w:rPr>
        <w:t>，乙方完成可研付50%，</w:t>
      </w:r>
      <w:r>
        <w:rPr>
          <w:rFonts w:hint="default" w:ascii="仿宋" w:hAnsi="仿宋" w:eastAsia="仿宋" w:cs="仿宋"/>
          <w:sz w:val="28"/>
          <w:szCs w:val="28"/>
          <w:u w:val="single"/>
          <w:lang w:val="en-US" w:eastAsia="zh-CN"/>
        </w:rPr>
        <w:t>甲方</w:t>
      </w:r>
      <w:r>
        <w:rPr>
          <w:rFonts w:hint="default" w:ascii="仿宋" w:hAnsi="仿宋" w:eastAsia="仿宋" w:cs="仿宋"/>
          <w:sz w:val="28"/>
          <w:szCs w:val="28"/>
          <w:u w:val="single"/>
          <w:lang w:eastAsia="zh-CN"/>
        </w:rPr>
        <w:t>申报成功后再付50%</w:t>
      </w:r>
      <w:r>
        <w:rPr>
          <w:rFonts w:hint="default" w:ascii="仿宋" w:hAnsi="仿宋" w:eastAsia="仿宋" w:cs="仿宋"/>
          <w:sz w:val="28"/>
          <w:szCs w:val="28"/>
          <w:u w:val="single"/>
          <w:lang w:val="en-US" w:eastAsia="zh-CN"/>
        </w:rPr>
        <w:t>。</w:t>
      </w:r>
      <w:bookmarkEnd w:id="3"/>
      <w:bookmarkStart w:id="4" w:name="OLE_LINK11"/>
    </w:p>
    <w:p>
      <w:pPr>
        <w:numPr>
          <w:ilvl w:val="0"/>
          <w:numId w:val="3"/>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到货周期：</w:t>
      </w:r>
      <w:r>
        <w:rPr>
          <w:rFonts w:hint="default" w:ascii="仿宋" w:hAnsi="仿宋" w:eastAsia="仿宋" w:cs="仿宋"/>
          <w:sz w:val="28"/>
          <w:szCs w:val="28"/>
          <w:highlight w:val="none"/>
          <w:lang w:val="en-US" w:eastAsia="zh-CN"/>
        </w:rPr>
        <w:t>买方下单后</w:t>
      </w:r>
      <w:r>
        <w:rPr>
          <w:rFonts w:hint="eastAsia" w:ascii="仿宋" w:hAnsi="仿宋" w:eastAsia="仿宋" w:cs="仿宋"/>
          <w:sz w:val="28"/>
          <w:szCs w:val="28"/>
          <w:highlight w:val="none"/>
          <w:u w:val="single"/>
          <w:lang w:val="en-US" w:eastAsia="zh-CN"/>
        </w:rPr>
        <w:tab/>
      </w:r>
      <w:r>
        <w:rPr>
          <w:rFonts w:hint="eastAsia" w:ascii="仿宋" w:hAnsi="仿宋" w:eastAsia="仿宋" w:cs="仿宋"/>
          <w:sz w:val="28"/>
          <w:szCs w:val="28"/>
          <w:highlight w:val="none"/>
          <w:u w:val="single"/>
          <w:lang w:val="en-US" w:eastAsia="zh-CN"/>
        </w:rPr>
        <w:t>/</w:t>
      </w:r>
      <w:r>
        <w:rPr>
          <w:rFonts w:hint="eastAsia" w:ascii="仿宋" w:hAnsi="仿宋" w:eastAsia="仿宋" w:cs="仿宋"/>
          <w:sz w:val="28"/>
          <w:szCs w:val="28"/>
          <w:highlight w:val="none"/>
          <w:u w:val="single"/>
          <w:lang w:val="en-US" w:eastAsia="zh-CN"/>
        </w:rPr>
        <w:tab/>
      </w:r>
      <w:r>
        <w:rPr>
          <w:rFonts w:hint="default" w:ascii="仿宋" w:hAnsi="仿宋" w:eastAsia="仿宋" w:cs="仿宋"/>
          <w:sz w:val="28"/>
          <w:szCs w:val="28"/>
          <w:highlight w:val="none"/>
          <w:lang w:val="en-US" w:eastAsia="zh-CN"/>
        </w:rPr>
        <w:t>个</w:t>
      </w:r>
      <w:r>
        <w:rPr>
          <w:rFonts w:hint="eastAsia" w:ascii="仿宋" w:hAnsi="仿宋" w:eastAsia="仿宋" w:cs="仿宋"/>
          <w:sz w:val="28"/>
          <w:szCs w:val="28"/>
          <w:highlight w:val="none"/>
          <w:lang w:val="en-US" w:eastAsia="zh-CN"/>
        </w:rPr>
        <w:t>工作</w:t>
      </w:r>
      <w:r>
        <w:rPr>
          <w:rFonts w:hint="default" w:ascii="仿宋" w:hAnsi="仿宋" w:eastAsia="仿宋" w:cs="仿宋"/>
          <w:sz w:val="28"/>
          <w:szCs w:val="28"/>
          <w:highlight w:val="none"/>
          <w:lang w:val="en-US" w:eastAsia="zh-CN"/>
        </w:rPr>
        <w:t>日内。</w:t>
      </w:r>
    </w:p>
    <w:p>
      <w:pPr>
        <w:numPr>
          <w:ilvl w:val="0"/>
          <w:numId w:val="3"/>
        </w:numPr>
        <w:spacing w:line="360" w:lineRule="auto"/>
        <w:ind w:leftChars="0"/>
        <w:jc w:val="both"/>
        <w:rPr>
          <w:rFonts w:hint="default" w:ascii="仿宋" w:hAnsi="仿宋" w:eastAsia="仿宋" w:cs="仿宋"/>
          <w:sz w:val="28"/>
          <w:szCs w:val="28"/>
          <w:highlight w:val="none"/>
          <w:lang w:val="en-US" w:eastAsia="zh-CN"/>
        </w:rPr>
      </w:pPr>
      <w:bookmarkStart w:id="5" w:name="OLE_LINK13"/>
      <w:r>
        <w:rPr>
          <w:rFonts w:hint="default" w:ascii="仿宋" w:hAnsi="仿宋" w:eastAsia="仿宋" w:cs="仿宋"/>
          <w:sz w:val="28"/>
          <w:szCs w:val="28"/>
          <w:highlight w:val="none"/>
          <w:lang w:val="en-US" w:eastAsia="zh-CN"/>
        </w:rPr>
        <w:t>工期：</w:t>
      </w:r>
      <w:bookmarkStart w:id="6" w:name="OLE_LINK9"/>
      <w:bookmarkStart w:id="7" w:name="OLE_LINK10"/>
      <w:r>
        <w:rPr>
          <w:rFonts w:hint="default" w:ascii="仿宋" w:hAnsi="仿宋" w:eastAsia="仿宋" w:cs="仿宋"/>
          <w:sz w:val="28"/>
          <w:szCs w:val="28"/>
          <w:highlight w:val="none"/>
          <w:lang w:val="en-US" w:eastAsia="zh-CN"/>
        </w:rPr>
        <w:t>买方下单后</w:t>
      </w:r>
      <w:bookmarkStart w:id="8" w:name="OLE_LINK14"/>
      <w:r>
        <w:rPr>
          <w:rFonts w:hint="default" w:ascii="仿宋" w:hAnsi="仿宋" w:eastAsia="仿宋" w:cs="仿宋"/>
          <w:sz w:val="28"/>
          <w:szCs w:val="28"/>
          <w:highlight w:val="none"/>
          <w:u w:val="single"/>
          <w:lang w:eastAsia="zh-CN"/>
        </w:rPr>
        <w:t>1</w:t>
      </w:r>
      <w:r>
        <w:rPr>
          <w:rFonts w:hint="eastAsia" w:ascii="仿宋" w:hAnsi="仿宋" w:eastAsia="仿宋" w:cs="仿宋"/>
          <w:sz w:val="28"/>
          <w:szCs w:val="28"/>
          <w:highlight w:val="none"/>
          <w:u w:val="single"/>
          <w:lang w:val="en-US" w:eastAsia="zh-CN"/>
        </w:rPr>
        <w:t>0</w:t>
      </w:r>
      <w:r>
        <w:rPr>
          <w:rFonts w:hint="default" w:ascii="仿宋" w:hAnsi="仿宋" w:eastAsia="仿宋" w:cs="仿宋"/>
          <w:sz w:val="28"/>
          <w:szCs w:val="28"/>
          <w:highlight w:val="none"/>
          <w:lang w:val="en-US" w:eastAsia="zh-CN"/>
        </w:rPr>
        <w:t>个</w:t>
      </w:r>
      <w:r>
        <w:rPr>
          <w:rFonts w:hint="eastAsia" w:ascii="仿宋" w:hAnsi="仿宋" w:eastAsia="仿宋" w:cs="仿宋"/>
          <w:sz w:val="28"/>
          <w:szCs w:val="28"/>
          <w:highlight w:val="none"/>
          <w:lang w:val="en-US" w:eastAsia="zh-CN"/>
        </w:rPr>
        <w:t>工作</w:t>
      </w:r>
      <w:r>
        <w:rPr>
          <w:rFonts w:hint="default" w:ascii="仿宋" w:hAnsi="仿宋" w:eastAsia="仿宋" w:cs="仿宋"/>
          <w:sz w:val="28"/>
          <w:szCs w:val="28"/>
          <w:highlight w:val="none"/>
          <w:lang w:val="en-US" w:eastAsia="zh-CN"/>
        </w:rPr>
        <w:t>日</w:t>
      </w:r>
      <w:bookmarkEnd w:id="6"/>
      <w:r>
        <w:rPr>
          <w:rFonts w:hint="eastAsia" w:ascii="仿宋" w:hAnsi="仿宋" w:eastAsia="仿宋" w:cs="仿宋"/>
          <w:sz w:val="28"/>
          <w:szCs w:val="28"/>
          <w:highlight w:val="none"/>
          <w:lang w:val="en-US" w:eastAsia="zh-CN"/>
        </w:rPr>
        <w:t>完成</w:t>
      </w:r>
      <w:bookmarkStart w:id="9" w:name="OLE_LINK16"/>
      <w:r>
        <w:rPr>
          <w:rFonts w:hint="eastAsia" w:ascii="仿宋" w:hAnsi="仿宋" w:eastAsia="仿宋" w:cs="仿宋"/>
          <w:sz w:val="28"/>
          <w:szCs w:val="28"/>
          <w:highlight w:val="none"/>
          <w:lang w:val="en-US" w:eastAsia="zh-CN"/>
        </w:rPr>
        <w:t>对河南中原黄金冶炼厂有限责任公司源网荷储屋顶光伏项目可研报告。</w:t>
      </w:r>
      <w:bookmarkEnd w:id="7"/>
      <w:bookmarkEnd w:id="8"/>
      <w:bookmarkEnd w:id="9"/>
      <w:bookmarkStart w:id="10" w:name="OLE_LINK17"/>
    </w:p>
    <w:bookmarkEnd w:id="5"/>
    <w:bookmarkEnd w:id="10"/>
    <w:p>
      <w:pPr>
        <w:numPr>
          <w:ilvl w:val="0"/>
          <w:numId w:val="3"/>
        </w:numPr>
        <w:spacing w:line="360" w:lineRule="auto"/>
        <w:ind w:leftChars="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谈判当天未在规定时间内按要求发送报价的，视为弃权。</w:t>
      </w:r>
    </w:p>
    <w:p>
      <w:pPr>
        <w:numPr>
          <w:ilvl w:val="0"/>
          <w:numId w:val="3"/>
        </w:numPr>
        <w:spacing w:line="360" w:lineRule="auto"/>
        <w:ind w:leftChars="0"/>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谈判项目报名单位在“中国执行信息公开网”查询中属失信被执行人的，视为无履约能力，不得报名参加，已报名的视为无效报名。</w:t>
      </w:r>
    </w:p>
    <w:p>
      <w:pPr>
        <w:pStyle w:val="2"/>
        <w:keepNext w:val="0"/>
        <w:keepLines w:val="0"/>
        <w:widowControl/>
        <w:suppressLineNumbers w:val="0"/>
        <w:spacing w:before="0" w:beforeAutospacing="0" w:after="0" w:afterAutospacing="0"/>
        <w:ind w:left="0" w:firstLine="0"/>
        <w:jc w:val="left"/>
        <w:rPr>
          <w:rFonts w:hint="eastAsia" w:eastAsia="仿宋"/>
          <w:lang w:eastAsia="zh-CN"/>
        </w:rPr>
      </w:pPr>
      <w:r>
        <w:rPr>
          <w:rFonts w:hint="eastAsia" w:ascii="仿宋" w:hAnsi="仿宋" w:eastAsia="仿宋" w:cs="仿宋"/>
          <w:color w:val="000000"/>
          <w:sz w:val="28"/>
          <w:szCs w:val="28"/>
          <w:lang w:val="en-US" w:eastAsia="zh-CN"/>
        </w:rPr>
        <w:t>10.</w:t>
      </w:r>
      <w:r>
        <w:rPr>
          <w:rFonts w:ascii="仿宋" w:hAnsi="仿宋" w:eastAsia="仿宋" w:cs="仿宋"/>
          <w:color w:val="000000"/>
          <w:sz w:val="28"/>
          <w:szCs w:val="28"/>
        </w:rPr>
        <w:t>若</w:t>
      </w:r>
      <w:r>
        <w:rPr>
          <w:rFonts w:hint="eastAsia" w:ascii="仿宋" w:hAnsi="仿宋" w:eastAsia="仿宋" w:cs="仿宋"/>
          <w:color w:val="000000"/>
          <w:sz w:val="28"/>
          <w:szCs w:val="28"/>
        </w:rPr>
        <w:t>谈判单位采取低于成本价的报价方式，评委将有权否决其谈判资格</w:t>
      </w:r>
      <w:r>
        <w:rPr>
          <w:rFonts w:hint="eastAsia" w:ascii="仿宋" w:hAnsi="仿宋" w:eastAsia="仿宋" w:cs="仿宋"/>
          <w:color w:val="000000"/>
          <w:sz w:val="28"/>
          <w:szCs w:val="28"/>
          <w:lang w:eastAsia="zh-CN"/>
        </w:rPr>
        <w:t>。</w:t>
      </w:r>
    </w:p>
    <w:bookmarkEnd w:id="4"/>
    <w:p>
      <w:pPr>
        <w:numPr>
          <w:ilvl w:val="0"/>
          <w:numId w:val="0"/>
        </w:numPr>
        <w:spacing w:line="360" w:lineRule="auto"/>
        <w:jc w:val="both"/>
        <w:rPr>
          <w:rFonts w:hint="default" w:ascii="仿宋" w:hAnsi="仿宋" w:eastAsia="仿宋" w:cs="仿宋"/>
          <w:sz w:val="28"/>
          <w:szCs w:val="28"/>
          <w:lang w:val="en-US" w:eastAsia="zh-CN"/>
        </w:rPr>
      </w:pPr>
    </w:p>
    <w:p>
      <w:pPr>
        <w:bidi w:val="0"/>
        <w:rPr>
          <w:rFonts w:hint="default" w:asciiTheme="minorHAnsi" w:hAnsiTheme="minorHAnsi" w:eastAsiaTheme="minorEastAsia" w:cstheme="minorBidi"/>
          <w:kern w:val="2"/>
          <w:sz w:val="21"/>
          <w:szCs w:val="24"/>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ind w:firstLine="366" w:firstLineChars="0"/>
        <w:jc w:val="left"/>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CF0253"/>
    <w:multiLevelType w:val="singleLevel"/>
    <w:tmpl w:val="DFCF0253"/>
    <w:lvl w:ilvl="0" w:tentative="0">
      <w:start w:val="1"/>
      <w:numFmt w:val="decimal"/>
      <w:lvlText w:val="%1."/>
      <w:lvlJc w:val="left"/>
      <w:pPr>
        <w:tabs>
          <w:tab w:val="left" w:pos="312"/>
        </w:tabs>
      </w:pPr>
    </w:lvl>
  </w:abstractNum>
  <w:abstractNum w:abstractNumId="1">
    <w:nsid w:val="47278D17"/>
    <w:multiLevelType w:val="singleLevel"/>
    <w:tmpl w:val="47278D17"/>
    <w:lvl w:ilvl="0" w:tentative="0">
      <w:start w:val="2"/>
      <w:numFmt w:val="chineseCounting"/>
      <w:suff w:val="nothing"/>
      <w:lvlText w:val="%1、"/>
      <w:lvlJc w:val="left"/>
      <w:rPr>
        <w:rFonts w:hint="eastAsia"/>
      </w:rPr>
    </w:lvl>
  </w:abstractNum>
  <w:abstractNum w:abstractNumId="2">
    <w:nsid w:val="5F1BCE1D"/>
    <w:multiLevelType w:val="singleLevel"/>
    <w:tmpl w:val="5F1BCE1D"/>
    <w:lvl w:ilvl="0" w:tentative="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YWIxNTU5MzYzZmQ5OWM3ODFiY2E5Y2RlOTRkMjQifQ=="/>
  </w:docVars>
  <w:rsids>
    <w:rsidRoot w:val="00000000"/>
    <w:rsid w:val="055F3042"/>
    <w:rsid w:val="05EE066D"/>
    <w:rsid w:val="06163E13"/>
    <w:rsid w:val="08791398"/>
    <w:rsid w:val="08BC1DD1"/>
    <w:rsid w:val="091B55ED"/>
    <w:rsid w:val="0D182072"/>
    <w:rsid w:val="0FB029A1"/>
    <w:rsid w:val="16D72B0D"/>
    <w:rsid w:val="19984636"/>
    <w:rsid w:val="1C8B4472"/>
    <w:rsid w:val="2475540E"/>
    <w:rsid w:val="2C7231A1"/>
    <w:rsid w:val="353D55FA"/>
    <w:rsid w:val="3B620A15"/>
    <w:rsid w:val="3C8647BC"/>
    <w:rsid w:val="3D522C22"/>
    <w:rsid w:val="40FF5C6F"/>
    <w:rsid w:val="454F3513"/>
    <w:rsid w:val="47156CFF"/>
    <w:rsid w:val="47FC4CB2"/>
    <w:rsid w:val="4D716F40"/>
    <w:rsid w:val="4DE46F4B"/>
    <w:rsid w:val="57A01EB2"/>
    <w:rsid w:val="5C490690"/>
    <w:rsid w:val="6A6A370E"/>
    <w:rsid w:val="6C944D27"/>
    <w:rsid w:val="6CE17938"/>
    <w:rsid w:val="70AC432A"/>
    <w:rsid w:val="73470603"/>
    <w:rsid w:val="77D12FA6"/>
    <w:rsid w:val="7CA97BB7"/>
    <w:rsid w:val="7DF7778F"/>
    <w:rsid w:val="7F090BB3"/>
    <w:rsid w:val="7F9946C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font31"/>
    <w:basedOn w:val="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658</Words>
  <Characters>687</Characters>
  <Lines>0</Lines>
  <Paragraphs>0</Paragraphs>
  <TotalTime>0</TotalTime>
  <ScaleCrop>false</ScaleCrop>
  <LinksUpToDate>false</LinksUpToDate>
  <CharactersWithSpaces>722</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2024-01-15T15:00:00Z</dcterms:created>
  <dc:creator>Administrator</dc:creator>
  <cp:lastModifiedBy>李季尧</cp:lastModifiedBy>
  <dcterms:modified xsi:type="dcterms:W3CDTF">2024-12-11T06:11:00Z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4D99287C3B554B60BF337DB71F46E1F1</vt:lpwstr>
  </property>
</Properties>
</file>