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2BB40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94FB08E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78E515F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8D9733F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CG132024471   </w:t>
      </w:r>
    </w:p>
    <w:p w14:paraId="42938616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（1台高温风机）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7890C7F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工程部   </w:t>
      </w:r>
    </w:p>
    <w:p w14:paraId="52F8984D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7D4D0B6">
      <w:pPr>
        <w:spacing w:after="100" w:line="360" w:lineRule="auto"/>
        <w:ind w:firstLine="482" w:firstLineChars="200"/>
        <w:rPr>
          <w:rFonts w:hint="eastAsia"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  <w:lang w:val="en-US" w:eastAsia="zh-CN"/>
        </w:rPr>
        <w:t>①</w:t>
      </w:r>
      <w:r>
        <w:rPr>
          <w:rFonts w:hint="eastAsia" w:ascii="宋体" w:hAnsi="宋体"/>
          <w:b/>
          <w:color w:val="auto"/>
          <w:sz w:val="24"/>
        </w:rPr>
        <w:t>供货范围：投标方应成套供应如下设备</w:t>
      </w:r>
    </w:p>
    <w:tbl>
      <w:tblPr>
        <w:tblStyle w:val="4"/>
        <w:tblW w:w="8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556"/>
        <w:gridCol w:w="3486"/>
        <w:gridCol w:w="1065"/>
        <w:gridCol w:w="1504"/>
      </w:tblGrid>
      <w:tr w14:paraId="4CE18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2F153">
            <w:pPr>
              <w:spacing w:line="240" w:lineRule="atLeast"/>
              <w:jc w:val="center"/>
              <w:rPr>
                <w:rFonts w:hAnsi="宋体"/>
                <w:b/>
                <w:caps/>
                <w:sz w:val="24"/>
              </w:rPr>
            </w:pPr>
            <w:r>
              <w:rPr>
                <w:rFonts w:hint="eastAsia" w:hAnsi="宋体"/>
                <w:b/>
                <w:caps/>
                <w:sz w:val="24"/>
              </w:rPr>
              <w:t>序号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B84BF">
            <w:pPr>
              <w:spacing w:line="240" w:lineRule="atLeast"/>
              <w:jc w:val="center"/>
              <w:rPr>
                <w:rFonts w:hAnsi="宋体"/>
                <w:b/>
                <w:caps/>
                <w:sz w:val="24"/>
              </w:rPr>
            </w:pPr>
            <w:r>
              <w:rPr>
                <w:rFonts w:hint="eastAsia" w:hAnsi="宋体"/>
                <w:b/>
                <w:caps/>
                <w:sz w:val="24"/>
              </w:rPr>
              <w:t>货物名称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844E1">
            <w:pPr>
              <w:spacing w:line="240" w:lineRule="atLeast"/>
              <w:jc w:val="center"/>
              <w:rPr>
                <w:rFonts w:hAnsi="宋体"/>
                <w:b/>
                <w:caps/>
                <w:sz w:val="24"/>
              </w:rPr>
            </w:pPr>
            <w:r>
              <w:rPr>
                <w:rFonts w:hint="eastAsia" w:hAnsi="宋体"/>
                <w:b/>
                <w:caps/>
                <w:sz w:val="24"/>
              </w:rPr>
              <w:t>规格型号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F0601">
            <w:pPr>
              <w:spacing w:line="240" w:lineRule="atLeast"/>
              <w:jc w:val="center"/>
              <w:rPr>
                <w:rFonts w:hAnsi="宋体" w:cs="黑体"/>
                <w:b/>
                <w:caps/>
                <w:sz w:val="24"/>
                <w:szCs w:val="22"/>
              </w:rPr>
            </w:pPr>
            <w:r>
              <w:rPr>
                <w:rFonts w:hint="eastAsia" w:hAnsi="宋体"/>
                <w:b/>
                <w:caps/>
                <w:sz w:val="24"/>
              </w:rPr>
              <w:t>数量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2DA66">
            <w:pPr>
              <w:spacing w:line="240" w:lineRule="atLeast"/>
              <w:jc w:val="center"/>
              <w:rPr>
                <w:rFonts w:hAnsi="宋体" w:cs="黑体"/>
                <w:b/>
                <w:caps/>
                <w:sz w:val="24"/>
                <w:szCs w:val="22"/>
              </w:rPr>
            </w:pPr>
            <w:r>
              <w:rPr>
                <w:rFonts w:hint="eastAsia" w:hAnsi="宋体"/>
                <w:b/>
                <w:caps/>
                <w:sz w:val="24"/>
              </w:rPr>
              <w:t>备注</w:t>
            </w:r>
          </w:p>
        </w:tc>
      </w:tr>
      <w:tr w14:paraId="7D3BD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88FB4">
            <w:pPr>
              <w:jc w:val="center"/>
              <w:rPr>
                <w:rFonts w:hAnsi="宋体" w:cs="黑体"/>
                <w:sz w:val="24"/>
                <w:szCs w:val="22"/>
              </w:rPr>
            </w:pPr>
            <w:r>
              <w:rPr>
                <w:rFonts w:hint="eastAsia" w:hAnsi="宋体" w:cs="黑体"/>
                <w:sz w:val="24"/>
                <w:szCs w:val="22"/>
              </w:rPr>
              <w:t>1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1C53C">
            <w:pPr>
              <w:jc w:val="center"/>
              <w:rPr>
                <w:rFonts w:hint="eastAsia" w:hAnsi="宋体" w:cs="黑体" w:eastAsiaTheme="minorEastAsia"/>
                <w:sz w:val="24"/>
                <w:szCs w:val="22"/>
                <w:lang w:eastAsia="zh-CN"/>
              </w:rPr>
            </w:pPr>
            <w:r>
              <w:rPr>
                <w:rFonts w:hint="eastAsia" w:hAnsi="宋体" w:cs="黑体"/>
                <w:sz w:val="24"/>
                <w:szCs w:val="22"/>
                <w:lang w:val="en-US" w:eastAsia="zh-CN"/>
              </w:rPr>
              <w:t>高温风机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4AF57">
            <w:pPr>
              <w:jc w:val="center"/>
              <w:rPr>
                <w:rFonts w:hAnsi="宋体" w:cs="黑体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①风机风量: 34000m3/h；②风机全压：2800Pa（买方使用工 况条件下，即 95.83kPa 和 300℃时），入口负压：－2300Pa，出口正压：500Pa；③风机电机采用永磁变频电机， 电机功率：～45kW（由供货商核算并最终确认），供电电压等级：380V，要求风机转速≤1500rpm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71D07">
            <w:pPr>
              <w:jc w:val="center"/>
              <w:rPr>
                <w:rFonts w:hAnsi="宋体" w:cs="黑体"/>
                <w:sz w:val="24"/>
                <w:szCs w:val="22"/>
              </w:rPr>
            </w:pPr>
            <w:r>
              <w:rPr>
                <w:rFonts w:hint="eastAsia" w:hAnsi="宋体" w:cs="黑体"/>
                <w:sz w:val="24"/>
                <w:szCs w:val="22"/>
              </w:rPr>
              <w:t>1</w:t>
            </w:r>
            <w:r>
              <w:rPr>
                <w:rFonts w:hAnsi="宋体" w:cs="黑体"/>
                <w:sz w:val="24"/>
                <w:szCs w:val="22"/>
              </w:rPr>
              <w:t>台/</w:t>
            </w:r>
            <w:r>
              <w:rPr>
                <w:rFonts w:hint="eastAsia" w:hAnsi="宋体" w:cs="黑体"/>
                <w:sz w:val="24"/>
                <w:szCs w:val="22"/>
              </w:rPr>
              <w:t>套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0432A">
            <w:pPr>
              <w:jc w:val="center"/>
              <w:rPr>
                <w:rFonts w:hint="default" w:ascii="Calibri" w:hAnsi="Calibri" w:eastAsia="宋体"/>
                <w:sz w:val="24"/>
                <w:lang w:val="en-US" w:eastAsia="zh-CN"/>
              </w:rPr>
            </w:pPr>
            <w:r>
              <w:rPr>
                <w:spacing w:val="-1"/>
              </w:rPr>
              <w:t>用于铜冶炼危废渣侧吹熔炼烟气收尘系统烟气输送提供动力；侧吹熔炼炉富氧熔炼分为铅铋渣熔</w:t>
            </w:r>
            <w:r>
              <w:t xml:space="preserve"> </w:t>
            </w:r>
            <w:r>
              <w:rPr>
                <w:spacing w:val="-2"/>
              </w:rPr>
              <w:t>炼、铜渣熔炼两部分，分开作业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。</w:t>
            </w:r>
          </w:p>
        </w:tc>
      </w:tr>
    </w:tbl>
    <w:p w14:paraId="14FF78EC">
      <w:pPr>
        <w:spacing w:line="360" w:lineRule="auto"/>
        <w:ind w:firstLine="480" w:firstLineChars="200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  <w:lang w:val="en-US" w:eastAsia="zh-CN"/>
        </w:rPr>
        <w:t>②</w:t>
      </w:r>
      <w:r>
        <w:rPr>
          <w:rFonts w:hint="eastAsia"/>
          <w:bCs/>
          <w:color w:val="000000"/>
          <w:sz w:val="24"/>
        </w:rPr>
        <w:t xml:space="preserve"> </w:t>
      </w:r>
      <w:r>
        <w:rPr>
          <w:rFonts w:hint="eastAsia" w:hAnsi="宋体"/>
          <w:bCs/>
          <w:color w:val="000000"/>
          <w:sz w:val="24"/>
        </w:rPr>
        <w:t>技术要求</w:t>
      </w:r>
    </w:p>
    <w:tbl>
      <w:tblPr>
        <w:tblStyle w:val="5"/>
        <w:tblW w:w="9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7"/>
        <w:gridCol w:w="7681"/>
      </w:tblGrid>
      <w:tr w14:paraId="12BB6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8" w:type="dxa"/>
            <w:gridSpan w:val="2"/>
            <w:noWrap w:val="0"/>
            <w:vAlign w:val="top"/>
          </w:tcPr>
          <w:p w14:paraId="0273AEA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 xml:space="preserve">一、技术规格、使用参数（条件）及技术要求 </w:t>
            </w:r>
          </w:p>
        </w:tc>
      </w:tr>
      <w:tr w14:paraId="235DB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7" w:type="dxa"/>
            <w:noWrap w:val="0"/>
            <w:vAlign w:val="top"/>
          </w:tcPr>
          <w:p w14:paraId="46DF506E">
            <w:pPr>
              <w:spacing w:line="360" w:lineRule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1、型号及规格</w:t>
            </w:r>
          </w:p>
        </w:tc>
        <w:tc>
          <w:tcPr>
            <w:tcW w:w="7681" w:type="dxa"/>
            <w:noWrap w:val="0"/>
            <w:vAlign w:val="top"/>
          </w:tcPr>
          <w:p w14:paraId="1F4C10A5">
            <w:pPr>
              <w:spacing w:line="360" w:lineRule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①风机风量: 34000m3/h；②风机全压：2800Pa（买方使用工 况条件下，即 95.83kPa 和 300℃时），入口负压：－2300Pa，出口正压：500Pa；③风机电机采用永磁变频电机， 电机功率：～45kW（由供货商核算并最终确认），供电电压等级：380V，要求风机转速≤1500rpm</w:t>
            </w:r>
          </w:p>
        </w:tc>
      </w:tr>
      <w:tr w14:paraId="1B52F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7" w:type="dxa"/>
            <w:noWrap w:val="0"/>
            <w:vAlign w:val="top"/>
          </w:tcPr>
          <w:p w14:paraId="6FB3724B">
            <w:pPr>
              <w:spacing w:line="360" w:lineRule="auto"/>
              <w:rPr>
                <w:rFonts w:hAnsi="宋体"/>
                <w:b/>
                <w:sz w:val="24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、 介质</w:t>
            </w:r>
            <w:r>
              <w:rPr>
                <w:rFonts w:ascii="宋体" w:hAnsi="宋体" w:cs="宋体"/>
                <w:sz w:val="24"/>
              </w:rPr>
              <w:t xml:space="preserve"> </w:t>
            </w:r>
          </w:p>
        </w:tc>
        <w:tc>
          <w:tcPr>
            <w:tcW w:w="7681" w:type="dxa"/>
            <w:noWrap w:val="0"/>
            <w:vAlign w:val="top"/>
          </w:tcPr>
          <w:p w14:paraId="501117C0"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烟气成分(V%)：处理铅铋渣物料熔化期：SO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4"/>
                <w:position w:val="-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4.30%,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1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8"/>
                <w:position w:val="-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0.087%, 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position w:val="-1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7.89%, H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O 31.84%,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N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34.70%,  CO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21.10%，HCl  0.082%；处理铅铋渣物料还原期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：SO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0.1%,  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0.002%,  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10.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27%,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42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H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9.231%,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3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N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67.62%,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44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CO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12.76%，HCl  0.009%；处理铜渣物料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2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：SO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0.26%,  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0.008%,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position w:val="-1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position w:val="-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14.06%,  H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10.34%, N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38"/>
                <w:w w:val="102"/>
                <w:position w:val="-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63.75%, CO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position w:val="-1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position w:val="-1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11.46%；</w:t>
            </w:r>
          </w:p>
          <w:p w14:paraId="2D3A0CC3"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烟尘成分(M%):处理铅铋渣物料熔化期：Cu 0.13%, S 4.78%,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1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Sb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2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1"/>
                <w:szCs w:val="21"/>
              </w:rPr>
              <w:t>1.22%, Pb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44.04%, Bi 0.31%,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7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As 9.81%等；处理铅铋渣物料还原期：Cu 0.09%,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1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S 2.54%, Sb 2.6%, Pb 46.83%,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Bi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0.2%,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0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As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 xml:space="preserve">  15.94%等；处理铜渣物料：Cu 2.26%, Bi 0.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02%, S 0.81%,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1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Sb 0.4%, Pb 48.98%,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3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As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"/>
                <w:sz w:val="21"/>
                <w:szCs w:val="21"/>
              </w:rPr>
              <w:t>1.80%等。</w:t>
            </w:r>
          </w:p>
        </w:tc>
      </w:tr>
      <w:tr w14:paraId="02D0F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1877" w:type="dxa"/>
            <w:noWrap w:val="0"/>
            <w:vAlign w:val="center"/>
          </w:tcPr>
          <w:p w14:paraId="18089B33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、技术性能参数</w:t>
            </w:r>
          </w:p>
        </w:tc>
        <w:tc>
          <w:tcPr>
            <w:tcW w:w="7681" w:type="dxa"/>
            <w:noWrap w:val="0"/>
            <w:vAlign w:val="top"/>
          </w:tcPr>
          <w:p w14:paraId="4662077A">
            <w:pPr>
              <w:pStyle w:val="7"/>
              <w:spacing w:before="4" w:line="244" w:lineRule="auto"/>
              <w:ind w:left="105" w:right="35" w:firstLine="448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（1）风机规格参数及所处工艺条件要求：①风机风量: 34000m3/h ；②风机全压：2800Pa（买方使用工  况条件下， 即 95.83kPa 和 300℃时），入口负压：－2300Pa， 出口正压：500Pa；③风机电机采用变频电机， 电机功率：～45kW（由供货商核算并最终确认），供电电压等级：380V，要求风机转速≤1500rpm；④风机  进、出口形式及方向：采用 D 型轴向进气， 出口顺 45°（风机旋向及角度暂定，待后续与设计者协商确定）； ⑤入口烟气温度：300±20℃,   烟气露点温度：～188.5℃（处理铅铋渣物料 ，熔化期）、～135.2℃（处理铅  铋渣物料 ，还原期）、～152℃（处理铜渣物料）；⑥入口烟气含尘浓度：&lt;0.4g/Nm3(标况)，最大含尘浓度按  1.0g/Nm3(标况)；⑦烟气成分(V%)：处理铅铋渣物料熔化期：SO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4.30%, 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0.087%, 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7.89%, H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O 31.84%,  N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 34.70%,  CO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 21.10%，HCl  0.082%；处理铅铋渣物料还原期 ：SO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 0.1%,  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 0.002%,  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  10.27%, H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O  9.231%, N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 67.62%, CO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 12.76%，HCl  0.009%；处理铜渣物料 ：SO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 0.26%,  SO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 0.008%, 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 14.06%,  H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O  10.34%, N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63.75%, CO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 xml:space="preserve">  11.46%；⑧烟尘成分(M%):处理铅铋渣物料熔化期：Cu 0.13%, S 4.78%, Sb 1.22%, Pb  44.04%, Bi 0.31%, As 9.81%等；处理铅铋渣物料还原期：Cu 0.09%, S 2.54%, Sb 2.6%, Pb 46.83%, Bi 0.2%, As  15.94%等；处理铜渣物料：Cu 2.26%, Bi 0.02%, S 0.81%, Sb 0.4%, Pb 48.98%, As 1.80%等。</w:t>
            </w:r>
          </w:p>
          <w:p w14:paraId="6248C4AF">
            <w:pPr>
              <w:pStyle w:val="7"/>
              <w:spacing w:before="40" w:line="241" w:lineRule="auto"/>
              <w:ind w:left="124" w:right="33" w:firstLine="5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（2） 与电气仪表及控制相关的要求：①PLC 采用西门子 S7-1200 系列，实现设备本体及附属设备的控  制，要求控制系统预留与上位机 DCS 系统的通信接口，与 DCS 系统通讯，可实现两地（就地/远程）控制， 通信协议与业主方最终协商确定；②风机配带的综合检测柜， 能测量轴承和定子温度、风机和电机的转速、 轴承双向测振等，并留有内置 PLC 与上位机通讯的接口；③对各监测点的电流、转速、温度、压差、油位、 振动等信号全部输入至综合检测柜内置 PLC 进行处理，根据工艺要求进行监测、控制、报警，风机远程启  动须在风机具备启动条件下进行；④综合检测柜应具备的功能有：轴承温度、定子温度、轴承双向测振等信号显示；电机（如电机风扇）等辅助用电设备的主回路和控制回路；⑤综合检测柜须配置不小于 10 寸的西  门子原装触摸屏，触摸屏画面须具有运行参数显示、故障停车显示、报警功能，以及逻辑联锁的简易流程图， 显示语言应包含简体中文；要求提供 PLC 与 DCS 通讯的 GSD 文件以及与通讯数据对应的地址编码表，并  配合 DCS 控制系统厂家完成设备通讯；编程软件要求使用博图 V16 版本，供货商须提供程序的原始密码，  并向业主方开放源程序；⑥风机电机防护等级为 IP54 、户外式，绝缘等级为 F，B 级温升要求，综合检测柜  防护等级为 IP55。</w:t>
            </w:r>
          </w:p>
          <w:p w14:paraId="0F82F7F6">
            <w:pPr>
              <w:pStyle w:val="7"/>
              <w:spacing w:line="244" w:lineRule="auto"/>
              <w:ind w:left="111" w:right="36" w:firstLine="442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（3 ）风机结构特性及其他要求：①风机机壳 、 叶轮和叶片采用不低于  316L  不锈钢材质，主轴采用  42CrMo、整体锻造、镶 316L 不锈钢套，轴承采用 SKF 进口品牌 ，联轴器采用弹性柱销式；②主轴与机壳  之间采用迷宫式密封，要求严密不得漏气 ；③风机应留有叶轮冲洗管接口及机壳底部排污口（带阀门）；④  风机侧部设人孔门，机壳底部设灰尘清理人孔，用于风机积灰时的蜗壳和风机叶轮的冲洗和清理，门子设计  为便于开关的“ 回 ”形密封门，方便人员检修时进出；⑤风机的保温层厚度为  100mm，风机设计时应考虑  留有壳体与基础间的保温及其安装空间，同时风机本体上要求预焊保温用固定钎；⑥配带风机进、出口膨胀  节，膨胀节波纹管材质采用 316L(波纹管厚度不小于 2mm) ，膨胀节接管部分接管材质采用 304， 下设溢流  口，进、出口膨胀节补偿量除考虑风机本体的膨胀量外，还应额外增加轴向补偿量  60mm  以补偿连接管道  的热膨胀，出口膨胀节除额外增加轴向补偿量 60mm 外，还应额外增加径向补偿量 50mm；⑦风机壳体部件  之间的连接要求严密不得漏风，垫片材质采用耐高温橡胶垫片，不得采用石棉绳或石棉盘根；⑧风机配带进、 出口配对法兰及其连接紧固件、密封垫等；⑨风机应具备有效的减震降噪设计，并满足相关行业标准，要求  噪音&lt;85 分贝。</w:t>
            </w:r>
          </w:p>
          <w:p w14:paraId="213B7BCF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（4）备品备件： 除业主有特殊要求外，按正常供货范围提供一年操作运行的备品备件，投标时需列出 详细的名称及技术规格、数量、单价、使用寿命及供应商名单等信息。</w:t>
            </w:r>
          </w:p>
          <w:p w14:paraId="58328FD4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  <w:p w14:paraId="7CBD96C5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  <w:p w14:paraId="7DBBADDC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 w14:paraId="39253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77" w:type="dxa"/>
            <w:noWrap w:val="0"/>
            <w:vAlign w:val="top"/>
          </w:tcPr>
          <w:p w14:paraId="2402498B">
            <w:pPr>
              <w:spacing w:line="360" w:lineRule="auto"/>
              <w:rPr>
                <w:rFonts w:ascii="TimesNewRomanPSMT" w:hAnsi="TimesNewRomanPSMT" w:eastAsia="TimesNewRomanPSMT" w:cs="TimesNewRomanPSMT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、 安装环境 </w:t>
            </w:r>
          </w:p>
        </w:tc>
        <w:tc>
          <w:tcPr>
            <w:tcW w:w="7681" w:type="dxa"/>
            <w:noWrap w:val="0"/>
            <w:vAlign w:val="top"/>
          </w:tcPr>
          <w:p w14:paraId="43569F86">
            <w:pPr>
              <w:spacing w:line="360" w:lineRule="auto"/>
              <w:rPr>
                <w:rFonts w:hAnsi="宋体"/>
                <w:bCs/>
                <w:sz w:val="24"/>
              </w:rPr>
            </w:pPr>
            <w:r>
              <w:rPr>
                <w:spacing w:val="-2"/>
              </w:rPr>
              <w:t>设备</w:t>
            </w:r>
            <w:r>
              <w:rPr>
                <w:spacing w:val="-3"/>
              </w:rPr>
              <w:t>为室外露天布置</w:t>
            </w:r>
            <w:r>
              <w:rPr>
                <w:spacing w:val="-24"/>
              </w:rPr>
              <w:t xml:space="preserve"> </w:t>
            </w:r>
          </w:p>
        </w:tc>
      </w:tr>
    </w:tbl>
    <w:p w14:paraId="04EAA150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7293AFB5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资质要求：营业执照应含有高温风机厂家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等服务相关项。   </w:t>
      </w:r>
    </w:p>
    <w:p w14:paraId="041D8AD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3E32C741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13 %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6FFCA24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37730343">
      <w:pPr>
        <w:snapToGrid w:val="0"/>
        <w:spacing w:after="100" w:line="52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预付合同总额10%，货到现场支付合同总额40%，安装完成验收合格后支付合同总额40%，质保期满一年无质量问题后支付合同总额10%。（在合同签订之日起15日内开具须开合同总价的10％银行保函，履约保函在货物到达现场安装完成单体试车验收合格后无息退还。）</w:t>
      </w:r>
    </w:p>
    <w:p w14:paraId="6D3619A6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预计2025年7月，具体到货接买方通知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AFAE070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现场具备施工条件，20日历天完成交工验收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ED008B0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8、安装范围：</w:t>
      </w:r>
    </w:p>
    <w:p w14:paraId="6152BF8E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1）配套管道甲方供至设备接口处1米，其余由投标方实施。</w:t>
      </w:r>
    </w:p>
    <w:p w14:paraId="3CBF479B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2）配电系统界区：甲方负责动力电源接入投标方提供的进线柜，投标方负责从电源进线柜出线后端所有设备设施的连接及相关配置。设备所有仪表、控制系统由投标方负责。</w:t>
      </w:r>
    </w:p>
    <w:p w14:paraId="2982C767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3）土建由甲方负责，投标方负责向招标方提供准确的设备基础条件图及工艺平面布置图。</w:t>
      </w:r>
    </w:p>
    <w:p w14:paraId="125A8BBC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577871B0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10.谈判项目报名单位在“中国执行信息公开网”查询中属失信被执行人的，视为无履约能力，不得报名参加，已报名的视为无效报名。</w:t>
      </w:r>
    </w:p>
    <w:p w14:paraId="4F70F89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64660B4D">
      <w:pPr>
        <w:bidi w:val="0"/>
        <w:rPr>
          <w:rFonts w:hint="default"/>
          <w:lang w:val="en-US" w:eastAsia="zh-CN"/>
        </w:rPr>
      </w:pPr>
    </w:p>
    <w:p w14:paraId="331A1D81">
      <w:pPr>
        <w:bidi w:val="0"/>
        <w:rPr>
          <w:rFonts w:hint="default"/>
          <w:lang w:val="en-US" w:eastAsia="zh-CN"/>
        </w:rPr>
      </w:pPr>
    </w:p>
    <w:p w14:paraId="2D58C8A0">
      <w:pPr>
        <w:bidi w:val="0"/>
        <w:rPr>
          <w:rFonts w:hint="default"/>
          <w:lang w:val="en-US" w:eastAsia="zh-CN"/>
        </w:rPr>
      </w:pPr>
    </w:p>
    <w:p w14:paraId="3A0EAF81">
      <w:pPr>
        <w:bidi w:val="0"/>
        <w:rPr>
          <w:rFonts w:hint="default"/>
          <w:lang w:val="en-US" w:eastAsia="zh-CN"/>
        </w:rPr>
      </w:pPr>
    </w:p>
    <w:p w14:paraId="19C5EEDB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 w14:paraId="4259F9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iZjQ1MjY0MmIxNDFlMjY0NTJhOTc5Nzc5YTA4MjUifQ=="/>
  </w:docVars>
  <w:rsids>
    <w:rsidRoot w:val="6D99192B"/>
    <w:rsid w:val="48DA5C15"/>
    <w:rsid w:val="68721717"/>
    <w:rsid w:val="6D99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outlineLvl w:val="2"/>
    </w:pPr>
    <w:rPr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2024-12-25T07:30:00Z</dcterms:created>
  <dc:creator>秦小木</dc:creator>
  <cp:lastModifiedBy>秦小木</cp:lastModifiedBy>
  <dcterms:modified xsi:type="dcterms:W3CDTF">2024-12-25T08:32:00Z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94536C8C7AD4406DB75DA02C2F6D14AC_11</vt:lpwstr>
  </property>
</Properties>
</file>