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2650" w:firstLineChars="600"/>
        <w:jc w:val="both"/>
        <w:rPr>
          <w:color w:val="auto"/>
        </w:rPr>
      </w:pPr>
      <w:bookmarkStart w:id="0" w:name="_Toc29626"/>
      <w:r>
        <w:rPr>
          <w:rFonts w:hint="eastAsia" w:hAnsi="宋体"/>
          <w:color w:val="auto"/>
        </w:rPr>
        <w:t>第六章</w:t>
      </w:r>
      <w:r>
        <w:rPr>
          <w:color w:val="auto"/>
        </w:rPr>
        <w:t xml:space="preserve"> </w:t>
      </w:r>
      <w:r>
        <w:rPr>
          <w:rFonts w:hint="eastAsia" w:hAnsi="宋体"/>
          <w:color w:val="auto"/>
        </w:rPr>
        <w:t>附</w:t>
      </w:r>
      <w:r>
        <w:rPr>
          <w:color w:val="auto"/>
        </w:rPr>
        <w:t xml:space="preserve"> </w:t>
      </w:r>
      <w:r>
        <w:rPr>
          <w:rFonts w:hint="eastAsia"/>
          <w:color w:val="auto"/>
        </w:rPr>
        <w:t xml:space="preserve"> </w:t>
      </w:r>
      <w:r>
        <w:rPr>
          <w:rFonts w:hint="eastAsia" w:hAnsi="宋体"/>
          <w:color w:val="auto"/>
        </w:rPr>
        <w:t>件</w:t>
      </w:r>
      <w:bookmarkEnd w:id="0"/>
    </w:p>
    <w:p>
      <w:pPr>
        <w:pStyle w:val="12"/>
        <w:rPr>
          <w:rFonts w:ascii="Times New Roman" w:hAnsi="Times New Roman"/>
          <w:color w:val="auto"/>
        </w:rPr>
      </w:pPr>
      <w:bookmarkStart w:id="1" w:name="_Toc460486357"/>
      <w:bookmarkStart w:id="2" w:name="_Toc20548"/>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highlight w:val="none"/>
          <w:u w:val="single"/>
          <w:lang w:eastAsia="zh-CN"/>
        </w:rPr>
        <w:t>ZYYL-ZB2025042</w:t>
      </w:r>
      <w:r>
        <w:rPr>
          <w:rFonts w:hint="eastAsia" w:cs="Arial"/>
          <w:bCs/>
          <w:color w:val="auto"/>
          <w:sz w:val="24"/>
          <w:highlight w:val="none"/>
          <w:u w:val="single"/>
          <w:lang w:val="en-US" w:eastAsia="zh-CN"/>
        </w:rPr>
        <w:t xml:space="preserve">     </w:t>
      </w:r>
      <w:r>
        <w:rPr>
          <w:rFonts w:hint="eastAsia" w:hAnsi="宋体" w:cs="Arial"/>
          <w:bCs/>
          <w:color w:val="auto"/>
          <w:sz w:val="24"/>
          <w:highlight w:val="none"/>
        </w:rPr>
        <w:t>招标</w:t>
      </w:r>
      <w:r>
        <w:rPr>
          <w:rFonts w:hint="eastAsia" w:hAnsi="宋体" w:cs="Arial"/>
          <w:bCs/>
          <w:color w:val="auto"/>
          <w:sz w:val="24"/>
        </w:rPr>
        <w:t>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w:t>
      </w:r>
      <w:r>
        <w:rPr>
          <w:rFonts w:hint="eastAsia" w:hAnsi="宋体" w:cs="Arial"/>
          <w:bCs/>
          <w:color w:val="auto"/>
          <w:sz w:val="24"/>
          <w:lang w:eastAsia="zh-CN"/>
        </w:rPr>
        <w:t>四</w:t>
      </w:r>
      <w:r>
        <w:rPr>
          <w:rFonts w:hint="eastAsia" w:hAnsi="宋体" w:cs="Arial"/>
          <w:bCs/>
          <w:color w:val="auto"/>
          <w:sz w:val="24"/>
        </w:rPr>
        <w:t>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bCs/>
          <w:color w:val="auto"/>
          <w:sz w:val="24"/>
          <w:highlight w:val="none"/>
          <w:u w:val="single"/>
          <w:lang w:val="en-US" w:eastAsia="zh-CN"/>
        </w:rPr>
        <w:t xml:space="preserve">        </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bCs/>
          <w:color w:val="auto"/>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p>
    <w:p>
      <w:pPr>
        <w:pStyle w:val="12"/>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auto"/>
        </w:rPr>
      </w:pPr>
      <w:bookmarkStart w:id="3" w:name="_Toc21556"/>
      <w:bookmarkStart w:id="4" w:name="_Toc460486358"/>
      <w:r>
        <w:rPr>
          <w:rFonts w:ascii="Times New Roman" w:hAnsi="宋体"/>
          <w:color w:val="auto"/>
        </w:rPr>
        <w:t>附件二</w:t>
      </w:r>
      <w:bookmarkEnd w:id="3"/>
    </w:p>
    <w:p>
      <w:pPr>
        <w:spacing w:after="100" w:line="580" w:lineRule="exact"/>
        <w:jc w:val="center"/>
        <w:rPr>
          <w:rFonts w:hint="eastAsia" w:hAnsi="宋体" w:cs="Arial"/>
          <w:b/>
          <w:color w:val="auto"/>
          <w:spacing w:val="8"/>
          <w:sz w:val="32"/>
          <w:szCs w:val="32"/>
          <w:u w:val="single"/>
        </w:rPr>
      </w:pPr>
    </w:p>
    <w:p>
      <w:pPr>
        <w:spacing w:after="100" w:line="580" w:lineRule="exact"/>
        <w:ind w:left="1" w:firstLine="418" w:firstLineChars="124"/>
        <w:jc w:val="center"/>
        <w:rPr>
          <w:rFonts w:hint="eastAsia"/>
          <w:b/>
          <w:spacing w:val="8"/>
          <w:sz w:val="32"/>
          <w:szCs w:val="32"/>
          <w:u w:val="single"/>
        </w:rPr>
      </w:pPr>
      <w:r>
        <w:rPr>
          <w:rFonts w:hint="eastAsia" w:hAnsi="宋体" w:cs="Arial"/>
          <w:b/>
          <w:color w:val="auto"/>
          <w:spacing w:val="8"/>
          <w:sz w:val="32"/>
          <w:szCs w:val="32"/>
          <w:u w:val="single"/>
          <w:lang w:val="en-US" w:eastAsia="zh-CN"/>
        </w:rPr>
        <w:t xml:space="preserve"> </w:t>
      </w:r>
      <w:r>
        <w:rPr>
          <w:rFonts w:hint="eastAsia"/>
          <w:b/>
          <w:spacing w:val="8"/>
          <w:sz w:val="32"/>
          <w:szCs w:val="32"/>
          <w:u w:val="single"/>
        </w:rPr>
        <w:t>开标报价一览表（格式）</w:t>
      </w:r>
    </w:p>
    <w:p>
      <w:pPr>
        <w:spacing w:after="100" w:line="580" w:lineRule="exact"/>
        <w:ind w:left="1" w:firstLine="274" w:firstLineChars="124"/>
        <w:rPr>
          <w:rFonts w:hint="eastAsia" w:hAnsi="宋体" w:eastAsia="宋体"/>
          <w:b/>
          <w:bCs/>
          <w:spacing w:val="-10"/>
          <w:sz w:val="24"/>
          <w:lang w:val="en-US" w:eastAsia="zh-CN"/>
        </w:rPr>
      </w:pPr>
      <w:r>
        <w:rPr>
          <w:rFonts w:hAnsi="宋体"/>
          <w:b/>
          <w:bCs/>
          <w:spacing w:val="-10"/>
          <w:sz w:val="24"/>
        </w:rPr>
        <w:t>招标项目名称：</w:t>
      </w:r>
      <w:r>
        <w:rPr>
          <w:rFonts w:hint="eastAsia" w:hAnsi="宋体"/>
          <w:b/>
          <w:bCs/>
          <w:color w:val="auto"/>
          <w:spacing w:val="-10"/>
          <w:sz w:val="24"/>
          <w:highlight w:val="none"/>
        </w:rPr>
        <w:t>河南中原黄金冶炼厂有限责任公司</w:t>
      </w:r>
      <w:r>
        <w:rPr>
          <w:rFonts w:hint="eastAsia" w:hAnsi="宋体"/>
          <w:b/>
          <w:bCs/>
          <w:color w:val="auto"/>
          <w:spacing w:val="-10"/>
          <w:sz w:val="24"/>
          <w:lang w:eastAsia="zh-CN"/>
        </w:rPr>
        <w:t>液压件修理年度合同</w:t>
      </w:r>
    </w:p>
    <w:p>
      <w:pPr>
        <w:spacing w:after="100" w:line="580" w:lineRule="exact"/>
        <w:ind w:left="1" w:firstLine="274" w:firstLineChars="124"/>
        <w:rPr>
          <w:rFonts w:hAnsi="宋体"/>
          <w:b/>
          <w:bCs/>
          <w:spacing w:val="-10"/>
          <w:sz w:val="24"/>
        </w:rPr>
      </w:pPr>
      <w:r>
        <w:rPr>
          <w:rFonts w:hAnsi="宋体"/>
          <w:b/>
          <w:bCs/>
          <w:spacing w:val="-10"/>
          <w:sz w:val="24"/>
        </w:rPr>
        <w:t>招 标 编 号：</w:t>
      </w:r>
    </w:p>
    <w:tbl>
      <w:tblPr>
        <w:tblStyle w:val="13"/>
        <w:tblW w:w="10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9"/>
        <w:gridCol w:w="2668"/>
        <w:gridCol w:w="1856"/>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509" w:type="dxa"/>
            <w:noWrap w:val="0"/>
            <w:vAlign w:val="center"/>
          </w:tcPr>
          <w:p>
            <w:pPr>
              <w:spacing w:after="100" w:line="580" w:lineRule="exact"/>
              <w:jc w:val="center"/>
              <w:rPr>
                <w:rFonts w:hint="default" w:hAnsi="宋体" w:eastAsia="宋体"/>
                <w:b/>
                <w:bCs/>
                <w:spacing w:val="-10"/>
                <w:sz w:val="24"/>
                <w:lang w:val="en-US" w:eastAsia="zh-CN"/>
              </w:rPr>
            </w:pPr>
            <w:r>
              <w:rPr>
                <w:rFonts w:hint="eastAsia" w:hAnsi="宋体"/>
                <w:b/>
                <w:bCs/>
                <w:spacing w:val="-10"/>
                <w:sz w:val="24"/>
                <w:lang w:eastAsia="zh-CN"/>
              </w:rPr>
              <w:t>项目名称</w:t>
            </w:r>
            <w:r>
              <w:rPr>
                <w:rFonts w:hint="eastAsia" w:hAnsi="宋体"/>
                <w:b/>
                <w:bCs/>
                <w:spacing w:val="-10"/>
                <w:sz w:val="24"/>
                <w:lang w:val="en-US" w:eastAsia="zh-CN"/>
              </w:rPr>
              <w:t xml:space="preserve"> :</w:t>
            </w:r>
          </w:p>
        </w:tc>
        <w:tc>
          <w:tcPr>
            <w:tcW w:w="2668" w:type="dxa"/>
            <w:noWrap w:val="0"/>
            <w:vAlign w:val="center"/>
          </w:tcPr>
          <w:p>
            <w:pPr>
              <w:spacing w:after="100" w:line="580" w:lineRule="exact"/>
              <w:jc w:val="center"/>
              <w:rPr>
                <w:rFonts w:hint="default" w:hAnsi="宋体"/>
                <w:b/>
                <w:bCs/>
                <w:spacing w:val="-10"/>
                <w:sz w:val="24"/>
                <w:lang w:val="en-US" w:eastAsia="zh-CN"/>
              </w:rPr>
            </w:pPr>
            <w:r>
              <w:rPr>
                <w:rFonts w:hint="eastAsia" w:hAnsi="宋体"/>
                <w:b/>
                <w:bCs/>
                <w:spacing w:val="-10"/>
                <w:sz w:val="24"/>
                <w:lang w:val="en-US" w:eastAsia="zh-CN"/>
              </w:rPr>
              <w:t>开标报价（元）</w:t>
            </w:r>
          </w:p>
        </w:tc>
        <w:tc>
          <w:tcPr>
            <w:tcW w:w="1856" w:type="dxa"/>
            <w:noWrap w:val="0"/>
            <w:vAlign w:val="center"/>
          </w:tcPr>
          <w:p>
            <w:pPr>
              <w:spacing w:after="100" w:line="580" w:lineRule="exact"/>
              <w:jc w:val="center"/>
              <w:rPr>
                <w:rFonts w:hint="default" w:hAnsi="宋体"/>
                <w:b/>
                <w:bCs/>
                <w:spacing w:val="-10"/>
                <w:sz w:val="24"/>
                <w:lang w:val="en-US" w:eastAsia="zh-CN"/>
              </w:rPr>
            </w:pPr>
            <w:r>
              <w:rPr>
                <w:rFonts w:hint="eastAsia" w:hAnsi="宋体"/>
                <w:b/>
                <w:bCs/>
                <w:spacing w:val="-10"/>
                <w:sz w:val="24"/>
                <w:lang w:val="en-US" w:eastAsia="zh-CN"/>
              </w:rPr>
              <w:t>付款方式</w:t>
            </w:r>
          </w:p>
        </w:tc>
        <w:tc>
          <w:tcPr>
            <w:tcW w:w="2025" w:type="dxa"/>
            <w:noWrap w:val="0"/>
            <w:vAlign w:val="center"/>
          </w:tcPr>
          <w:p>
            <w:pPr>
              <w:spacing w:after="100" w:line="580" w:lineRule="exact"/>
              <w:jc w:val="center"/>
              <w:rPr>
                <w:rFonts w:hint="default" w:hAnsi="宋体"/>
                <w:b/>
                <w:bCs/>
                <w:spacing w:val="-10"/>
                <w:sz w:val="24"/>
                <w:lang w:val="en-US" w:eastAsia="zh-CN"/>
              </w:rPr>
            </w:pPr>
            <w:r>
              <w:rPr>
                <w:rFonts w:hint="eastAsia" w:hAnsi="宋体"/>
                <w:b/>
                <w:bCs/>
                <w:spacing w:val="-10"/>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3509" w:type="dxa"/>
            <w:noWrap w:val="0"/>
            <w:vAlign w:val="center"/>
          </w:tcPr>
          <w:p>
            <w:pPr>
              <w:pStyle w:val="5"/>
              <w:jc w:val="center"/>
              <w:rPr>
                <w:rFonts w:hint="default"/>
                <w:lang w:val="en-US" w:eastAsia="zh-CN"/>
              </w:rPr>
            </w:pPr>
            <w:r>
              <w:rPr>
                <w:rFonts w:hint="eastAsia" w:hAnsi="宋体"/>
                <w:b/>
                <w:bCs/>
                <w:spacing w:val="-10"/>
                <w:sz w:val="24"/>
                <w:lang w:val="en-US" w:eastAsia="zh-CN"/>
              </w:rPr>
              <w:t>含税总价之和</w:t>
            </w:r>
            <w:r>
              <w:rPr>
                <w:rFonts w:hint="eastAsia" w:hAnsi="宋体"/>
                <w:b/>
                <w:bCs/>
                <w:spacing w:val="-10"/>
                <w:sz w:val="24"/>
                <w:lang w:eastAsia="zh-CN"/>
              </w:rPr>
              <w:t>（大写）：</w:t>
            </w:r>
          </w:p>
        </w:tc>
        <w:tc>
          <w:tcPr>
            <w:tcW w:w="2668" w:type="dxa"/>
            <w:noWrap w:val="0"/>
            <w:vAlign w:val="center"/>
          </w:tcPr>
          <w:p>
            <w:pPr>
              <w:spacing w:after="100" w:line="580" w:lineRule="exact"/>
              <w:jc w:val="both"/>
              <w:rPr>
                <w:rFonts w:hint="eastAsia" w:hAnsi="宋体"/>
                <w:b/>
                <w:bCs/>
                <w:spacing w:val="-10"/>
                <w:sz w:val="24"/>
                <w:lang w:val="en-US" w:eastAsia="zh-CN"/>
              </w:rPr>
            </w:pPr>
          </w:p>
        </w:tc>
        <w:tc>
          <w:tcPr>
            <w:tcW w:w="1856" w:type="dxa"/>
            <w:noWrap w:val="0"/>
            <w:vAlign w:val="center"/>
          </w:tcPr>
          <w:p>
            <w:pPr>
              <w:spacing w:after="100" w:line="580" w:lineRule="exact"/>
              <w:jc w:val="both"/>
              <w:rPr>
                <w:rFonts w:hint="eastAsia" w:hAnsi="宋体"/>
                <w:b/>
                <w:bCs/>
                <w:spacing w:val="-10"/>
                <w:sz w:val="24"/>
                <w:lang w:val="en-US" w:eastAsia="zh-CN"/>
              </w:rPr>
            </w:pPr>
          </w:p>
        </w:tc>
        <w:tc>
          <w:tcPr>
            <w:tcW w:w="2025" w:type="dxa"/>
            <w:noWrap w:val="0"/>
            <w:vAlign w:val="center"/>
          </w:tcPr>
          <w:p>
            <w:pPr>
              <w:spacing w:after="100" w:line="580" w:lineRule="exact"/>
              <w:jc w:val="both"/>
              <w:rPr>
                <w:rFonts w:hint="eastAsia" w:hAnsi="宋体"/>
                <w:b/>
                <w:bCs/>
                <w:spacing w:val="-10"/>
                <w:sz w:val="24"/>
                <w:lang w:val="en-US" w:eastAsia="zh-CN"/>
              </w:rPr>
            </w:pPr>
            <w:r>
              <w:rPr>
                <w:rFonts w:hint="eastAsia" w:hAnsi="宋体"/>
                <w:b/>
                <w:bCs/>
                <w:spacing w:val="-10"/>
                <w:sz w:val="24"/>
                <w:lang w:val="en-US" w:eastAsia="zh-CN"/>
              </w:rPr>
              <w:t>（在最高限价的基础上整体下浮比例</w:t>
            </w:r>
            <w:r>
              <w:rPr>
                <w:rFonts w:hint="eastAsia" w:hAnsi="宋体"/>
                <w:b/>
                <w:bCs/>
                <w:spacing w:val="-10"/>
                <w:sz w:val="24"/>
                <w:u w:val="single"/>
                <w:lang w:val="en-US" w:eastAsia="zh-CN"/>
              </w:rPr>
              <w:t xml:space="preserve">     </w:t>
            </w:r>
            <w:r>
              <w:rPr>
                <w:rFonts w:hint="eastAsia" w:hAnsi="宋体"/>
                <w:b/>
                <w:bCs/>
                <w:spacing w:val="-10"/>
                <w:sz w:val="24"/>
                <w:u w:val="none"/>
                <w:lang w:val="en-US" w:eastAsia="zh-CN"/>
              </w:rPr>
              <w:t>%，每项单价与总价下浮比例相同）</w:t>
            </w:r>
          </w:p>
        </w:tc>
      </w:tr>
    </w:tbl>
    <w:p>
      <w:pPr>
        <w:spacing w:after="100" w:line="580" w:lineRule="exact"/>
        <w:ind w:left="1" w:firstLine="297" w:firstLineChars="124"/>
        <w:rPr>
          <w:rFonts w:hint="eastAsia" w:hAnsi="宋体" w:eastAsia="宋体"/>
          <w:b/>
          <w:bCs/>
          <w:spacing w:val="-10"/>
          <w:sz w:val="24"/>
          <w:lang w:val="en-US" w:eastAsia="zh-CN"/>
        </w:rPr>
      </w:pPr>
      <w:r>
        <w:rPr>
          <w:rFonts w:hint="eastAsia" w:ascii="宋体" w:hAnsi="宋体" w:eastAsia="宋体" w:cs="宋体"/>
          <w:sz w:val="24"/>
          <w:szCs w:val="24"/>
          <w:lang w:val="en-US" w:eastAsia="zh-CN"/>
        </w:rPr>
        <w:t xml:space="preserve"> </w:t>
      </w:r>
    </w:p>
    <w:p>
      <w:pPr>
        <w:spacing w:after="100" w:line="580" w:lineRule="exact"/>
        <w:ind w:firstLine="221" w:firstLineChars="100"/>
        <w:jc w:val="left"/>
        <w:rPr>
          <w:rFonts w:hint="eastAsia" w:hAnsi="宋体"/>
          <w:b/>
          <w:bCs/>
          <w:spacing w:val="-10"/>
          <w:sz w:val="24"/>
          <w:lang w:val="en-US" w:eastAsia="zh-CN"/>
        </w:rPr>
      </w:pPr>
      <w:r>
        <w:rPr>
          <w:rFonts w:hint="eastAsia" w:hAnsi="宋体"/>
          <w:b/>
          <w:bCs/>
          <w:spacing w:val="-10"/>
          <w:sz w:val="24"/>
          <w:lang w:eastAsia="zh-CN"/>
        </w:rPr>
        <w:t>说明：</w:t>
      </w:r>
      <w:r>
        <w:rPr>
          <w:rFonts w:hint="eastAsia" w:hAnsi="宋体"/>
          <w:b/>
          <w:bCs/>
          <w:spacing w:val="-10"/>
          <w:sz w:val="24"/>
          <w:lang w:val="en-US" w:eastAsia="zh-CN"/>
        </w:rPr>
        <w:t xml:space="preserve"> </w:t>
      </w:r>
    </w:p>
    <w:p>
      <w:pPr>
        <w:spacing w:after="100" w:line="580" w:lineRule="exact"/>
        <w:ind w:firstLine="221" w:firstLineChars="100"/>
        <w:jc w:val="left"/>
        <w:rPr>
          <w:rFonts w:hint="eastAsia" w:hAnsi="宋体"/>
          <w:b/>
          <w:bCs/>
          <w:spacing w:val="-10"/>
          <w:sz w:val="24"/>
          <w:lang w:val="en-US" w:eastAsia="zh-CN"/>
        </w:rPr>
      </w:pPr>
      <w:r>
        <w:rPr>
          <w:rFonts w:hint="eastAsia" w:hAnsi="宋体"/>
          <w:b/>
          <w:bCs/>
          <w:spacing w:val="-10"/>
          <w:sz w:val="24"/>
          <w:lang w:val="en-US" w:eastAsia="zh-CN"/>
        </w:rPr>
        <w:t>付款方式：每月25号前统计上月费用并提供增值税专票。支付方式为</w:t>
      </w:r>
      <w:r>
        <w:rPr>
          <w:rFonts w:hint="default" w:hAnsi="宋体"/>
          <w:b/>
          <w:bCs/>
          <w:sz w:val="24"/>
        </w:rPr>
        <w:t>电汇</w:t>
      </w:r>
      <w:r>
        <w:rPr>
          <w:rFonts w:hint="eastAsia" w:hAnsi="宋体"/>
          <w:b/>
          <w:bCs/>
          <w:spacing w:val="-10"/>
          <w:sz w:val="24"/>
          <w:lang w:val="en-US" w:eastAsia="zh-CN"/>
        </w:rPr>
        <w:t>。</w:t>
      </w:r>
    </w:p>
    <w:p>
      <w:pPr>
        <w:spacing w:after="100" w:line="580" w:lineRule="exact"/>
        <w:ind w:left="239" w:leftChars="114" w:firstLine="53" w:firstLineChars="24"/>
        <w:rPr>
          <w:rFonts w:hint="eastAsia" w:hAnsi="宋体"/>
          <w:b/>
          <w:bCs/>
          <w:spacing w:val="-10"/>
          <w:sz w:val="24"/>
          <w:lang w:val="en-US" w:eastAsia="zh-CN"/>
        </w:rPr>
      </w:pPr>
      <w:bookmarkStart w:id="5" w:name="_Toc12884"/>
      <w:r>
        <w:rPr>
          <w:rFonts w:hint="default" w:hAnsi="宋体"/>
          <w:b/>
          <w:bCs/>
          <w:spacing w:val="-10"/>
          <w:sz w:val="24"/>
          <w:lang w:eastAsia="zh-CN"/>
        </w:rPr>
        <w:t>开据发票类型：                     税率：</w:t>
      </w:r>
      <w:bookmarkEnd w:id="5"/>
      <w:r>
        <w:rPr>
          <w:rFonts w:hint="eastAsia" w:hAnsi="宋体"/>
          <w:b/>
          <w:bCs/>
          <w:spacing w:val="-10"/>
          <w:sz w:val="24"/>
          <w:lang w:val="en-US" w:eastAsia="zh-CN"/>
        </w:rPr>
        <w:t>13%</w:t>
      </w:r>
    </w:p>
    <w:p>
      <w:pPr>
        <w:spacing w:after="100" w:line="580" w:lineRule="exact"/>
        <w:ind w:left="239" w:leftChars="114" w:firstLine="53" w:firstLineChars="24"/>
        <w:rPr>
          <w:rFonts w:hint="eastAsia" w:hAnsi="宋体"/>
          <w:b/>
          <w:bCs/>
          <w:spacing w:val="-10"/>
          <w:sz w:val="24"/>
        </w:rPr>
      </w:pPr>
      <w:r>
        <w:rPr>
          <w:rFonts w:hint="eastAsia" w:hAnsi="宋体"/>
          <w:b/>
          <w:bCs/>
          <w:spacing w:val="-10"/>
          <w:sz w:val="24"/>
          <w:lang w:val="en-US" w:eastAsia="zh-CN"/>
        </w:rPr>
        <w:t>注：</w:t>
      </w:r>
      <w:r>
        <w:rPr>
          <w:rFonts w:hint="eastAsia" w:hAnsi="宋体"/>
          <w:b/>
          <w:bCs/>
          <w:spacing w:val="-10"/>
          <w:sz w:val="24"/>
          <w:lang w:eastAsia="zh-CN"/>
        </w:rPr>
        <w:t>投标人</w:t>
      </w:r>
      <w:r>
        <w:rPr>
          <w:rFonts w:hint="eastAsia" w:hAnsi="宋体"/>
          <w:b/>
          <w:bCs/>
          <w:spacing w:val="-10"/>
          <w:sz w:val="24"/>
        </w:rPr>
        <w:t>需对以上内容如实填写齐全，否则视为非响应性投标。</w:t>
      </w:r>
    </w:p>
    <w:p>
      <w:pPr>
        <w:tabs>
          <w:tab w:val="right" w:pos="4200"/>
        </w:tabs>
        <w:spacing w:after="100" w:line="480" w:lineRule="exact"/>
        <w:jc w:val="center"/>
        <w:rPr>
          <w:rFonts w:hint="eastAsia" w:cs="Arial"/>
          <w:b/>
          <w:bCs/>
          <w:spacing w:val="8"/>
          <w:sz w:val="24"/>
        </w:rPr>
      </w:pPr>
    </w:p>
    <w:p>
      <w:pPr>
        <w:tabs>
          <w:tab w:val="right" w:pos="4200"/>
        </w:tabs>
        <w:spacing w:after="100" w:line="480" w:lineRule="exact"/>
        <w:jc w:val="center"/>
        <w:rPr>
          <w:rFonts w:hint="eastAsia" w:cs="Arial"/>
          <w:b/>
          <w:bCs/>
          <w:spacing w:val="8"/>
          <w:sz w:val="24"/>
        </w:rPr>
      </w:pPr>
      <w:r>
        <w:rPr>
          <w:rFonts w:cs="Arial"/>
          <w:b/>
          <w:bCs/>
          <w:spacing w:val="8"/>
          <w:sz w:val="24"/>
        </w:rPr>
        <w:t xml:space="preserve">投标人（章）：                法人代表或授权代表（签字）               </w:t>
      </w:r>
    </w:p>
    <w:p>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pPr>
        <w:pStyle w:val="12"/>
        <w:rPr>
          <w:rFonts w:ascii="Times New Roman" w:hAnsi="Times New Roman"/>
        </w:rPr>
        <w:sectPr>
          <w:pgSz w:w="11906" w:h="16838"/>
          <w:pgMar w:top="1797" w:right="1440" w:bottom="1797" w:left="1440" w:header="851" w:footer="992" w:gutter="0"/>
          <w:pgNumType w:fmt="decimal"/>
          <w:cols w:space="720" w:num="1"/>
          <w:docGrid w:linePitch="312" w:charSpace="0"/>
        </w:sectPr>
      </w:pPr>
    </w:p>
    <w:p>
      <w:pPr>
        <w:rPr>
          <w:color w:val="auto"/>
        </w:rPr>
      </w:pPr>
    </w:p>
    <w:p>
      <w:pPr>
        <w:rPr>
          <w:color w:val="auto"/>
        </w:rPr>
      </w:pPr>
    </w:p>
    <w:p>
      <w:pPr>
        <w:rPr>
          <w:color w:val="auto"/>
        </w:rPr>
      </w:pPr>
    </w:p>
    <w:p>
      <w:pPr>
        <w:pStyle w:val="12"/>
        <w:keepNext w:val="0"/>
        <w:keepLines w:val="0"/>
        <w:pageBreakBefore w:val="0"/>
        <w:widowControl w:val="0"/>
        <w:kinsoku/>
        <w:wordWrap/>
        <w:overflowPunct/>
        <w:topLinePunct w:val="0"/>
        <w:autoSpaceDE/>
        <w:autoSpaceDN/>
        <w:bidi w:val="0"/>
        <w:adjustRightInd/>
        <w:snapToGrid/>
        <w:textAlignment w:val="auto"/>
        <w:rPr>
          <w:rFonts w:ascii="Times New Roman" w:hAnsi="宋体"/>
          <w:color w:val="auto"/>
        </w:rPr>
      </w:pPr>
      <w:bookmarkStart w:id="6" w:name="_Toc1195"/>
    </w:p>
    <w:p>
      <w:pPr>
        <w:pStyle w:val="12"/>
        <w:keepNext w:val="0"/>
        <w:keepLines w:val="0"/>
        <w:pageBreakBefore w:val="0"/>
        <w:widowControl w:val="0"/>
        <w:kinsoku/>
        <w:wordWrap/>
        <w:overflowPunct/>
        <w:topLinePunct w:val="0"/>
        <w:autoSpaceDE/>
        <w:autoSpaceDN/>
        <w:bidi w:val="0"/>
        <w:adjustRightInd/>
        <w:snapToGrid/>
        <w:textAlignment w:val="auto"/>
        <w:rPr>
          <w:rFonts w:ascii="Times New Roman" w:hAnsi="宋体"/>
          <w:color w:val="auto"/>
        </w:rPr>
      </w:pPr>
    </w:p>
    <w:p>
      <w:pPr>
        <w:pStyle w:val="1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r>
        <w:rPr>
          <w:rFonts w:ascii="Times New Roman" w:hAnsi="宋体"/>
          <w:color w:val="auto"/>
        </w:rPr>
        <w:t>附件</w:t>
      </w:r>
      <w:bookmarkEnd w:id="4"/>
      <w:r>
        <w:rPr>
          <w:rFonts w:hint="eastAsia" w:ascii="Times New Roman" w:hAnsi="宋体"/>
          <w:color w:val="auto"/>
          <w:lang w:eastAsia="zh-CN"/>
        </w:rPr>
        <w:t>三</w:t>
      </w:r>
      <w:bookmarkEnd w:id="6"/>
    </w:p>
    <w:p>
      <w:pPr>
        <w:spacing w:after="100" w:line="580" w:lineRule="exact"/>
        <w:ind w:left="1" w:firstLine="418" w:firstLineChars="124"/>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eastAsia" w:hAnsi="宋体" w:eastAsia="宋体"/>
          <w:b/>
          <w:bCs/>
          <w:color w:val="auto"/>
          <w:spacing w:val="-10"/>
          <w:sz w:val="24"/>
          <w:lang w:val="en-US" w:eastAsia="zh-CN"/>
        </w:rPr>
      </w:pPr>
      <w:r>
        <w:rPr>
          <w:rFonts w:hAnsi="宋体"/>
          <w:b/>
          <w:bCs/>
          <w:color w:val="auto"/>
          <w:spacing w:val="-10"/>
          <w:sz w:val="24"/>
        </w:rPr>
        <w:t>招标项目名称：</w:t>
      </w:r>
      <w:r>
        <w:rPr>
          <w:rFonts w:hint="eastAsia" w:hAnsi="宋体"/>
          <w:b/>
          <w:bCs/>
          <w:color w:val="auto"/>
          <w:spacing w:val="-10"/>
          <w:sz w:val="24"/>
        </w:rPr>
        <w:t>河南中原黄金冶炼厂有限责任</w:t>
      </w:r>
      <w:r>
        <w:rPr>
          <w:rFonts w:hint="eastAsia" w:hAnsi="宋体"/>
          <w:b/>
          <w:bCs/>
          <w:color w:val="auto"/>
          <w:spacing w:val="-10"/>
          <w:sz w:val="24"/>
          <w:lang w:eastAsia="zh-CN"/>
        </w:rPr>
        <w:t>公司</w:t>
      </w:r>
      <w:bookmarkStart w:id="7" w:name="OLE_LINK2"/>
      <w:r>
        <w:rPr>
          <w:rFonts w:hint="eastAsia" w:hAnsi="宋体"/>
          <w:b/>
          <w:bCs/>
          <w:color w:val="auto"/>
          <w:spacing w:val="-10"/>
          <w:sz w:val="24"/>
          <w:lang w:eastAsia="zh-CN"/>
        </w:rPr>
        <w:t>液压件修理年度合同</w:t>
      </w:r>
      <w:bookmarkEnd w:id="7"/>
    </w:p>
    <w:p>
      <w:pPr>
        <w:spacing w:after="100" w:line="580" w:lineRule="exact"/>
        <w:ind w:left="1" w:firstLine="274" w:firstLineChars="124"/>
        <w:rPr>
          <w:rFonts w:hint="default" w:hAnsi="宋体"/>
          <w:b/>
          <w:bCs/>
          <w:color w:val="auto"/>
          <w:spacing w:val="-10"/>
          <w:sz w:val="24"/>
          <w:lang w:val="en-US"/>
        </w:rPr>
      </w:pPr>
      <w:r>
        <w:rPr>
          <w:rFonts w:hAnsi="宋体"/>
          <w:b/>
          <w:bCs/>
          <w:color w:val="auto"/>
          <w:spacing w:val="-10"/>
          <w:sz w:val="24"/>
        </w:rPr>
        <w:t>招 标 编 号：</w:t>
      </w:r>
      <w:r>
        <w:rPr>
          <w:rFonts w:hint="eastAsia" w:hAnsi="宋体"/>
          <w:b/>
          <w:bCs/>
          <w:color w:val="auto"/>
          <w:spacing w:val="-10"/>
          <w:sz w:val="24"/>
          <w:lang w:val="en-US" w:eastAsia="zh-CN"/>
        </w:rPr>
        <w:t xml:space="preserve"> </w:t>
      </w:r>
      <w:r>
        <w:rPr>
          <w:rFonts w:hint="eastAsia" w:cs="Arial"/>
          <w:bCs/>
          <w:color w:val="auto"/>
          <w:sz w:val="24"/>
          <w:u w:val="single"/>
          <w:lang w:eastAsia="zh-CN"/>
        </w:rPr>
        <w:t>ZYYL-ZB2025042</w:t>
      </w:r>
      <w:r>
        <w:rPr>
          <w:rFonts w:hint="eastAsia" w:cs="Arial"/>
          <w:bCs/>
          <w:color w:val="auto"/>
          <w:sz w:val="24"/>
          <w:u w:val="single"/>
          <w:lang w:val="en-US" w:eastAsia="zh-CN"/>
        </w:rPr>
        <w:t xml:space="preserve"> </w:t>
      </w:r>
    </w:p>
    <w:tbl>
      <w:tblPr>
        <w:tblStyle w:val="13"/>
        <w:tblW w:w="10090" w:type="dxa"/>
        <w:tblInd w:w="-6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0"/>
        <w:gridCol w:w="1125"/>
        <w:gridCol w:w="2370"/>
        <w:gridCol w:w="840"/>
        <w:gridCol w:w="475"/>
        <w:gridCol w:w="859"/>
        <w:gridCol w:w="1023"/>
        <w:gridCol w:w="1145"/>
        <w:gridCol w:w="996"/>
        <w:gridCol w:w="6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修理件名称</w:t>
            </w: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修理项目</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预计年修理数量</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rPr>
              <w:t>含税单价/元</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rPr>
              <w:t>最高限价含税金额/元</w:t>
            </w:r>
          </w:p>
        </w:tc>
        <w:tc>
          <w:tcPr>
            <w:tcW w:w="11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rPr>
            </w:pPr>
            <w:r>
              <w:rPr>
                <w:rFonts w:hint="eastAsia"/>
              </w:rPr>
              <w:t>含税</w:t>
            </w:r>
            <w:r>
              <w:rPr>
                <w:rFonts w:hint="eastAsia"/>
                <w:lang w:val="en-US" w:eastAsia="zh-CN"/>
              </w:rPr>
              <w:t>单价</w:t>
            </w:r>
            <w:r>
              <w:rPr>
                <w:rFonts w:hint="eastAsia"/>
              </w:rPr>
              <w:t>/元</w:t>
            </w: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rPr>
            </w:pPr>
            <w:r>
              <w:rPr>
                <w:rFonts w:hint="eastAsia"/>
              </w:rPr>
              <w:t>含税</w:t>
            </w:r>
            <w:r>
              <w:rPr>
                <w:rFonts w:hint="eastAsia"/>
                <w:lang w:val="en-US" w:eastAsia="zh-CN"/>
              </w:rPr>
              <w:t>总</w:t>
            </w:r>
            <w:r>
              <w:rPr>
                <w:rFonts w:hint="eastAsia"/>
              </w:rPr>
              <w:t>价/元</w:t>
            </w:r>
          </w:p>
        </w:tc>
        <w:tc>
          <w:tcPr>
            <w:tcW w:w="6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lang w:val="en-US" w:eastAsia="zh-CN"/>
              </w:rPr>
            </w:pPr>
            <w:r>
              <w:rPr>
                <w:rFonts w:hint="eastAsia"/>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丹弗斯     变量柱塞泵</w:t>
            </w: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泵胆（缸体）变量头修研恢复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变量活塞</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电磁阀</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止推板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泵胆（缸体）</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回程盘</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主轴</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主轴研磨维修恢复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主轴轴承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柱塞（9件）</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轴瓦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弹簧（中间伺服用）</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阀</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配油盘研磨维修恢复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配油盘</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球绞</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摇摆</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摇摆磨损维修恢复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修理包（密封）</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拆检清理组装及整泵测试</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派克多路阀</w:t>
            </w: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电磁阀</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压力阀</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阀杆</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弹簧和弹簧座</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阀孔修复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拆检清理组装及整阀测试</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全套密封（parker品牌)</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220/110    倾翻油缸</w:t>
            </w: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活塞杆表面碰伤掉铬脱铬维修镀铬</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全套密封（parker品牌)</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油缸拆检清理装配调试打磨喷柒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关节轴承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活塞杆</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油缸缸筒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缸筒内孔轻微拉伤维修处理恢复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缸盖维修恢复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缸盖</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活塞修复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220/180    举升油缸</w:t>
            </w: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活塞杆表面碰伤掉铬脱铬维修镀铬</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8160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全套油封（parker品牌)</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油缸拆检清理装配调试打磨喷柒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关节轴承</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活塞杆</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油缸缸筒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缸筒内孔轻微拉伤维修处理恢复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缸盖维修恢复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缸盖</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吊耳</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活塞修复</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活塞</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18"/>
                <w:szCs w:val="18"/>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防尘罩</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多级升降    油缸</w:t>
            </w: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更换新缸筒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2800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维修缸筒</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1400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回转肖更换</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1585</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1585</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回转肖维修</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全套密封</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2800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16800</w:t>
            </w:r>
          </w:p>
        </w:tc>
        <w:tc>
          <w:tcPr>
            <w:tcW w:w="11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6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油缸拆检清理装配调试</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2600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630" w:type="dxa"/>
            <w:vMerge w:val="continue"/>
            <w:tcBorders>
              <w:top w:val="single" w:color="000000" w:sz="4" w:space="0"/>
              <w:left w:val="single" w:color="000000" w:sz="4" w:space="0"/>
              <w:bottom w:val="single" w:color="auto"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1125"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3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防尘罩</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2300</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2" w:hRule="atLeast"/>
        </w:trPr>
        <w:tc>
          <w:tcPr>
            <w:tcW w:w="6299" w:type="dxa"/>
            <w:gridSpan w:val="6"/>
            <w:tcBorders>
              <w:top w:val="single" w:color="auto" w:sz="4" w:space="0"/>
              <w:left w:val="single" w:color="auto" w:sz="4" w:space="0"/>
              <w:bottom w:val="single" w:color="auto" w:sz="4" w:space="0"/>
              <w:right w:val="single" w:color="000000" w:sz="4" w:space="0"/>
            </w:tcBorders>
            <w:noWrap/>
            <w:vAlign w:val="center"/>
          </w:tcPr>
          <w:p>
            <w:pPr>
              <w:keepNext w:val="0"/>
              <w:keepLines w:val="0"/>
              <w:widowControl/>
              <w:suppressLineNumbers w:val="0"/>
              <w:ind w:firstLine="720" w:firstLineChars="30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含税单价之和（大写）：</w:t>
            </w:r>
          </w:p>
          <w:p>
            <w:pPr>
              <w:keepNext w:val="0"/>
              <w:keepLines w:val="0"/>
              <w:widowControl/>
              <w:suppressLineNumbers w:val="0"/>
              <w:ind w:firstLine="720" w:firstLineChars="300"/>
              <w:jc w:val="both"/>
              <w:textAlignment w:val="center"/>
              <w:rPr>
                <w:rFonts w:hint="default"/>
                <w:lang w:val="en-US" w:eastAsia="zh-CN"/>
              </w:rPr>
            </w:pPr>
            <w:r>
              <w:rPr>
                <w:rFonts w:hint="eastAsia" w:ascii="宋体" w:hAnsi="宋体" w:eastAsia="宋体" w:cs="宋体"/>
                <w:i w:val="0"/>
                <w:iCs w:val="0"/>
                <w:color w:val="000000"/>
                <w:kern w:val="0"/>
                <w:sz w:val="24"/>
                <w:szCs w:val="24"/>
                <w:u w:val="none"/>
                <w:lang w:val="en-US" w:eastAsia="zh-CN" w:bidi="ar"/>
              </w:rPr>
              <w:t>含税总价之和（大写）：</w:t>
            </w:r>
          </w:p>
        </w:tc>
        <w:tc>
          <w:tcPr>
            <w:tcW w:w="10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350000</w:t>
            </w:r>
          </w:p>
        </w:tc>
        <w:tc>
          <w:tcPr>
            <w:tcW w:w="11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i w:val="0"/>
                <w:iCs w:val="0"/>
                <w:color w:val="000000"/>
                <w:sz w:val="20"/>
                <w:szCs w:val="20"/>
                <w:u w:val="none"/>
                <w:lang w:val="en-US" w:eastAsia="zh-CN"/>
              </w:rPr>
            </w:pPr>
          </w:p>
        </w:tc>
        <w:tc>
          <w:tcPr>
            <w:tcW w:w="99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i w:val="0"/>
                <w:iCs w:val="0"/>
                <w:color w:val="000000"/>
                <w:sz w:val="20"/>
                <w:szCs w:val="20"/>
                <w:u w:val="none"/>
                <w:lang w:val="en-US" w:eastAsia="zh-CN"/>
              </w:rPr>
            </w:pPr>
          </w:p>
        </w:tc>
        <w:tc>
          <w:tcPr>
            <w:tcW w:w="62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bl>
    <w:p>
      <w:pPr>
        <w:pStyle w:val="12"/>
        <w:rPr>
          <w:rFonts w:hint="eastAsia" w:cs="Arial"/>
          <w:bCs/>
          <w:color w:val="auto"/>
          <w:spacing w:val="8"/>
          <w:sz w:val="24"/>
        </w:rPr>
      </w:pPr>
      <w:bookmarkStart w:id="8" w:name="_Toc460486359"/>
      <w:r>
        <w:rPr>
          <w:rFonts w:hint="eastAsia" w:cs="Arial"/>
          <w:bCs/>
          <w:color w:val="auto"/>
          <w:spacing w:val="8"/>
          <w:sz w:val="24"/>
        </w:rPr>
        <w:t>注：1、投标单位在报价时须使每项单价与总价均在最高限价的基础上下浮同等百分比，不得随意调整单价。</w:t>
      </w:r>
    </w:p>
    <w:p>
      <w:pPr>
        <w:pStyle w:val="12"/>
        <w:rPr>
          <w:rFonts w:hint="eastAsia" w:cs="Arial"/>
          <w:bCs/>
          <w:color w:val="auto"/>
          <w:spacing w:val="8"/>
          <w:sz w:val="24"/>
        </w:rPr>
      </w:pPr>
      <w:r>
        <w:rPr>
          <w:rFonts w:hint="eastAsia" w:cs="Arial"/>
          <w:bCs/>
          <w:color w:val="auto"/>
          <w:spacing w:val="8"/>
          <w:sz w:val="24"/>
        </w:rPr>
        <w:t>2、投标报价</w:t>
      </w:r>
      <w:r>
        <w:rPr>
          <w:rFonts w:hint="eastAsia" w:cs="Arial"/>
          <w:bCs/>
          <w:color w:val="auto"/>
          <w:spacing w:val="8"/>
          <w:sz w:val="24"/>
          <w:lang w:val="en-US" w:eastAsia="zh-CN"/>
        </w:rPr>
        <w:t>保留两位</w:t>
      </w:r>
      <w:r>
        <w:rPr>
          <w:rFonts w:hint="eastAsia" w:cs="Arial"/>
          <w:bCs/>
          <w:color w:val="auto"/>
          <w:spacing w:val="8"/>
          <w:sz w:val="24"/>
        </w:rPr>
        <w:t>小数</w:t>
      </w:r>
      <w:r>
        <w:rPr>
          <w:rFonts w:hint="eastAsia" w:cs="Arial"/>
          <w:bCs/>
          <w:color w:val="auto"/>
          <w:spacing w:val="8"/>
          <w:sz w:val="24"/>
          <w:lang w:val="en-US" w:eastAsia="zh-CN"/>
        </w:rPr>
        <w:t xml:space="preserve"> </w:t>
      </w:r>
      <w:r>
        <w:rPr>
          <w:rFonts w:hint="eastAsia" w:cs="Arial"/>
          <w:bCs/>
          <w:color w:val="auto"/>
          <w:spacing w:val="8"/>
          <w:sz w:val="24"/>
        </w:rPr>
        <w:t>。</w:t>
      </w:r>
      <w:r>
        <w:rPr>
          <w:rFonts w:hint="eastAsia" w:cs="Arial"/>
          <w:bCs/>
          <w:color w:val="auto"/>
          <w:spacing w:val="8"/>
          <w:sz w:val="24"/>
          <w:lang w:val="en-US" w:eastAsia="zh-CN"/>
        </w:rPr>
        <w:t>1</w:t>
      </w:r>
      <w:r>
        <w:rPr>
          <w:rFonts w:hint="eastAsia" w:cs="Arial"/>
          <w:bCs/>
          <w:color w:val="auto"/>
          <w:spacing w:val="8"/>
          <w:sz w:val="24"/>
        </w:rPr>
        <w:t>3%税率。</w:t>
      </w:r>
    </w:p>
    <w:p>
      <w:pPr>
        <w:pStyle w:val="12"/>
        <w:rPr>
          <w:rFonts w:hint="eastAsia" w:cs="Arial"/>
          <w:bCs/>
          <w:color w:val="auto"/>
          <w:spacing w:val="8"/>
          <w:sz w:val="24"/>
        </w:rPr>
      </w:pPr>
      <w:r>
        <w:rPr>
          <w:rFonts w:hint="eastAsia" w:cs="Arial"/>
          <w:bCs/>
          <w:color w:val="auto"/>
          <w:spacing w:val="8"/>
          <w:sz w:val="24"/>
        </w:rPr>
        <w:t>3、上表所有计价单位为人民币元。</w:t>
      </w:r>
    </w:p>
    <w:p>
      <w:pPr>
        <w:pStyle w:val="12"/>
        <w:rPr>
          <w:rFonts w:hint="eastAsia" w:cs="Arial"/>
          <w:bCs/>
          <w:color w:val="auto"/>
          <w:spacing w:val="8"/>
          <w:sz w:val="24"/>
        </w:rPr>
      </w:pPr>
      <w:r>
        <w:rPr>
          <w:rFonts w:hint="eastAsia" w:cs="Arial"/>
          <w:bCs/>
          <w:color w:val="auto"/>
          <w:spacing w:val="8"/>
          <w:sz w:val="24"/>
        </w:rPr>
        <w:t xml:space="preserve">投标人（章）：                法人代表或授权代表（签字）               </w:t>
      </w:r>
    </w:p>
    <w:p>
      <w:pPr>
        <w:pStyle w:val="12"/>
        <w:rPr>
          <w:rFonts w:hint="eastAsia" w:ascii="Times New Roman" w:hAnsi="宋体"/>
          <w:color w:val="auto"/>
        </w:rPr>
      </w:pPr>
      <w:r>
        <w:rPr>
          <w:rFonts w:hint="eastAsia" w:cs="Arial"/>
          <w:bCs/>
          <w:color w:val="auto"/>
          <w:spacing w:val="8"/>
          <w:sz w:val="24"/>
        </w:rPr>
        <w:t xml:space="preserve">                 </w:t>
      </w:r>
      <w:r>
        <w:rPr>
          <w:rFonts w:hint="eastAsia" w:cs="Arial"/>
          <w:bCs/>
          <w:color w:val="auto"/>
          <w:spacing w:val="8"/>
          <w:sz w:val="24"/>
          <w:lang w:val="en-US" w:eastAsia="zh-CN"/>
        </w:rPr>
        <w:t xml:space="preserve">                </w:t>
      </w:r>
      <w:r>
        <w:rPr>
          <w:rFonts w:hint="eastAsia" w:cs="Arial"/>
          <w:bCs/>
          <w:color w:val="auto"/>
          <w:spacing w:val="8"/>
          <w:sz w:val="24"/>
        </w:rPr>
        <w:t xml:space="preserve">  年    月    日</w:t>
      </w:r>
    </w:p>
    <w:p>
      <w:pPr>
        <w:pStyle w:val="12"/>
        <w:rPr>
          <w:rFonts w:hint="eastAsia" w:ascii="Times New Roman" w:hAnsi="宋体"/>
          <w:color w:val="auto"/>
        </w:rPr>
      </w:pPr>
    </w:p>
    <w:p>
      <w:pPr>
        <w:pStyle w:val="12"/>
        <w:rPr>
          <w:rFonts w:hint="eastAsia" w:ascii="Times New Roman" w:hAnsi="宋体"/>
          <w:color w:val="auto"/>
          <w:lang w:val="en-US" w:eastAsia="zh-CN"/>
        </w:rPr>
      </w:pPr>
      <w:r>
        <w:rPr>
          <w:rFonts w:hint="eastAsia" w:ascii="Times New Roman" w:hAnsi="宋体"/>
          <w:color w:val="auto"/>
          <w:lang w:val="en-US" w:eastAsia="zh-CN"/>
        </w:rPr>
        <w:t xml:space="preserve">  </w:t>
      </w:r>
    </w:p>
    <w:p>
      <w:pPr>
        <w:rPr>
          <w:rFonts w:hint="eastAsia" w:ascii="Times New Roman" w:hAnsi="宋体"/>
          <w:color w:val="auto"/>
          <w:lang w:val="en-US" w:eastAsia="zh-CN"/>
        </w:rPr>
      </w:pPr>
    </w:p>
    <w:p>
      <w:pPr>
        <w:rPr>
          <w:rFonts w:hint="default"/>
          <w:lang w:val="en-US" w:eastAsia="zh-CN"/>
        </w:rPr>
      </w:pPr>
    </w:p>
    <w:p>
      <w:pPr>
        <w:rPr>
          <w:rFonts w:hint="eastAsia" w:ascii="Times New Roman" w:hAnsi="宋体"/>
          <w:color w:val="auto"/>
        </w:rPr>
      </w:pPr>
    </w:p>
    <w:p>
      <w:pPr>
        <w:pStyle w:val="12"/>
        <w:rPr>
          <w:rFonts w:hint="eastAsia" w:ascii="Times New Roman" w:hAnsi="宋体"/>
          <w:color w:val="auto"/>
        </w:rPr>
      </w:pPr>
      <w:bookmarkStart w:id="9" w:name="_Toc25505"/>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bookmarkStart w:id="25" w:name="_GoBack"/>
      <w:bookmarkEnd w:id="25"/>
    </w:p>
    <w:p>
      <w:pPr>
        <w:pStyle w:val="12"/>
        <w:rPr>
          <w:rFonts w:hint="eastAsia" w:ascii="Times New Roman" w:hAnsi="Times New Roman" w:eastAsia="宋体"/>
          <w:color w:val="auto"/>
          <w:lang w:eastAsia="zh-CN"/>
        </w:rPr>
      </w:pPr>
      <w:r>
        <w:rPr>
          <w:rFonts w:hint="eastAsia" w:ascii="Times New Roman" w:hAnsi="宋体"/>
          <w:color w:val="auto"/>
        </w:rPr>
        <w:t>附件</w:t>
      </w:r>
      <w:bookmarkEnd w:id="8"/>
      <w:r>
        <w:rPr>
          <w:rFonts w:hint="eastAsia" w:ascii="Times New Roman" w:hAnsi="宋体"/>
          <w:color w:val="auto"/>
          <w:lang w:eastAsia="zh-CN"/>
        </w:rPr>
        <w:t>四</w:t>
      </w:r>
      <w:bookmarkEnd w:id="9"/>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8"/>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8"/>
        <w:spacing w:after="100" w:line="580" w:lineRule="exact"/>
        <w:ind w:left="0" w:leftChars="0"/>
        <w:rPr>
          <w:rFonts w:hint="eastAsia"/>
          <w:b/>
          <w:bCs/>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液压件修理年度合同</w:t>
      </w:r>
    </w:p>
    <w:p>
      <w:pPr>
        <w:pStyle w:val="8"/>
        <w:spacing w:after="100" w:line="580" w:lineRule="exact"/>
        <w:ind w:left="0" w:leftChars="0"/>
        <w:rPr>
          <w:rFonts w:hint="default"/>
          <w:color w:val="auto"/>
          <w:spacing w:val="8"/>
          <w:sz w:val="24"/>
          <w:lang w:val="en-US"/>
        </w:rPr>
      </w:pP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ZYYL-ZB2025042</w:t>
      </w:r>
    </w:p>
    <w:tbl>
      <w:tblPr>
        <w:tblStyle w:val="1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lang w:val="en-US" w:eastAsia="zh-CN"/>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2"/>
        <w:rPr>
          <w:rFonts w:hint="eastAsia" w:ascii="Times New Roman" w:hAnsi="Times New Roman" w:eastAsia="宋体"/>
          <w:color w:val="auto"/>
          <w:lang w:eastAsia="zh-CN"/>
        </w:rPr>
      </w:pPr>
      <w:r>
        <w:rPr>
          <w:rFonts w:ascii="Times New Roman" w:hAnsi="Times New Roman"/>
          <w:color w:val="auto"/>
          <w:sz w:val="28"/>
        </w:rPr>
        <w:br w:type="page"/>
      </w:r>
      <w:bookmarkStart w:id="10" w:name="_Toc460486360"/>
      <w:bookmarkStart w:id="11" w:name="_Toc17953"/>
      <w:r>
        <w:rPr>
          <w:rFonts w:hint="eastAsia" w:ascii="Times New Roman" w:hAnsi="宋体"/>
          <w:color w:val="auto"/>
        </w:rPr>
        <w:t>附件</w:t>
      </w:r>
      <w:bookmarkEnd w:id="10"/>
      <w:r>
        <w:rPr>
          <w:rFonts w:hint="eastAsia" w:ascii="Times New Roman" w:hAnsi="宋体"/>
          <w:color w:val="auto"/>
          <w:lang w:eastAsia="zh-CN"/>
        </w:rPr>
        <w:t>五</w:t>
      </w:r>
      <w:bookmarkEnd w:id="11"/>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8"/>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液压件修理年度合同</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ZYYL-ZB2025042</w:t>
      </w:r>
      <w:r>
        <w:rPr>
          <w:rFonts w:hint="eastAsia" w:cs="Arial"/>
          <w:bCs/>
          <w:color w:val="auto"/>
          <w:sz w:val="24"/>
          <w:u w:val="single"/>
          <w:lang w:val="en-US" w:eastAsia="zh-CN"/>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r>
        <w:rPr>
          <w:rFonts w:ascii="Times New Roman" w:hAnsi="Times New Roman"/>
          <w:color w:val="auto"/>
          <w:sz w:val="28"/>
        </w:rPr>
        <w:br w:type="page"/>
      </w:r>
      <w:bookmarkStart w:id="12" w:name="_Toc460486361"/>
      <w:bookmarkStart w:id="13" w:name="_Toc28455"/>
      <w:r>
        <w:rPr>
          <w:rFonts w:hint="eastAsia" w:ascii="Times New Roman" w:hAnsi="宋体"/>
          <w:color w:val="auto"/>
        </w:rPr>
        <w:t>附件</w:t>
      </w:r>
      <w:bookmarkEnd w:id="12"/>
      <w:r>
        <w:rPr>
          <w:rFonts w:hint="eastAsia" w:ascii="Times New Roman" w:hAnsi="宋体"/>
          <w:color w:val="auto"/>
          <w:lang w:eastAsia="zh-CN"/>
        </w:rPr>
        <w:t>六</w:t>
      </w:r>
      <w:bookmarkEnd w:id="13"/>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8"/>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液压件修理年度合同</w:t>
      </w:r>
    </w:p>
    <w:p>
      <w:pPr>
        <w:spacing w:after="100" w:line="580" w:lineRule="exact"/>
        <w:rPr>
          <w:rFonts w:hint="eastAsia"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ZYYL-ZB2025042</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bookmarkStart w:id="14" w:name="_Toc460486362"/>
      <w:bookmarkStart w:id="15" w:name="_Toc22137"/>
      <w:r>
        <w:rPr>
          <w:rFonts w:hint="eastAsia" w:ascii="Times New Roman" w:hAnsi="宋体"/>
          <w:color w:val="auto"/>
        </w:rPr>
        <w:t>附件</w:t>
      </w:r>
      <w:bookmarkEnd w:id="14"/>
      <w:r>
        <w:rPr>
          <w:rFonts w:hint="eastAsia" w:ascii="Times New Roman" w:hAnsi="宋体"/>
          <w:color w:val="auto"/>
          <w:lang w:eastAsia="zh-CN"/>
        </w:rPr>
        <w:t>七</w:t>
      </w:r>
      <w:bookmarkEnd w:id="15"/>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8"/>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液压件修理年度合同</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ZYYL-ZB2025042</w:t>
      </w:r>
      <w:r>
        <w:rPr>
          <w:rFonts w:hint="eastAsia" w:cs="Arial"/>
          <w:bCs/>
          <w:color w:val="auto"/>
          <w:sz w:val="24"/>
          <w:u w:val="single"/>
          <w:lang w:val="en-US" w:eastAsia="zh-CN"/>
        </w:rPr>
        <w:t xml:space="preserve">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7"/>
              <w:spacing w:after="100" w:line="580" w:lineRule="exact"/>
              <w:jc w:val="center"/>
              <w:rPr>
                <w:rFonts w:ascii="Times New Roman"/>
                <w:b w:val="0"/>
                <w:bCs/>
                <w:color w:val="auto"/>
                <w:spacing w:val="8"/>
                <w:sz w:val="24"/>
                <w:szCs w:val="24"/>
              </w:rPr>
            </w:pPr>
          </w:p>
        </w:tc>
        <w:tc>
          <w:tcPr>
            <w:tcW w:w="1546" w:type="dxa"/>
            <w:noWrap w:val="0"/>
            <w:vAlign w:val="center"/>
          </w:tcPr>
          <w:p>
            <w:pPr>
              <w:pStyle w:val="7"/>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p>
    <w:p>
      <w:pPr>
        <w:keepNext w:val="0"/>
        <w:keepLines w:val="0"/>
        <w:pageBreakBefore w:val="0"/>
        <w:widowControl w:val="0"/>
        <w:kinsoku/>
        <w:wordWrap/>
        <w:overflowPunct/>
        <w:topLinePunct w:val="0"/>
        <w:autoSpaceDE/>
        <w:autoSpaceDN/>
        <w:bidi w:val="0"/>
        <w:adjustRightInd/>
        <w:snapToGrid/>
        <w:spacing w:after="100" w:line="580" w:lineRule="exact"/>
        <w:jc w:val="left"/>
        <w:textAlignment w:val="auto"/>
        <w:outlineLvl w:val="0"/>
        <w:rPr>
          <w:rFonts w:hint="eastAsia" w:eastAsia="宋体"/>
          <w:color w:val="auto"/>
          <w:lang w:eastAsia="zh-CN"/>
        </w:rPr>
      </w:pPr>
      <w:r>
        <w:rPr>
          <w:b/>
          <w:bCs/>
          <w:color w:val="auto"/>
          <w:spacing w:val="8"/>
          <w:sz w:val="24"/>
        </w:rPr>
        <w:br w:type="page"/>
      </w:r>
      <w:bookmarkStart w:id="16" w:name="_Toc15753"/>
      <w:r>
        <w:rPr>
          <w:rFonts w:hint="eastAsia" w:hAnsi="宋体"/>
          <w:b/>
          <w:bCs/>
          <w:color w:val="auto"/>
          <w:sz w:val="24"/>
          <w:szCs w:val="32"/>
        </w:rPr>
        <w:t>附件</w:t>
      </w:r>
      <w:r>
        <w:rPr>
          <w:rFonts w:hint="eastAsia" w:hAnsi="宋体"/>
          <w:b/>
          <w:bCs/>
          <w:color w:val="auto"/>
          <w:sz w:val="24"/>
          <w:szCs w:val="32"/>
          <w:lang w:eastAsia="zh-CN"/>
        </w:rPr>
        <w:t>八</w:t>
      </w:r>
      <w:bookmarkEnd w:id="16"/>
    </w:p>
    <w:p>
      <w:pPr>
        <w:pStyle w:val="12"/>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w:t>
      </w:r>
      <w:r>
        <w:rPr>
          <w:rFonts w:hint="eastAsia" w:hAnsi="宋体" w:cs="Arial"/>
          <w:bCs/>
          <w:color w:val="auto"/>
          <w:spacing w:val="8"/>
          <w:sz w:val="24"/>
          <w:lang w:eastAsia="zh-CN"/>
        </w:rPr>
        <w:t>，有效期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7"/>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spacing w:after="100" w:line="520" w:lineRule="exact"/>
        <w:rPr>
          <w:rFonts w:hint="eastAsia" w:hAnsi="宋体" w:cs="Arial"/>
          <w:bCs/>
          <w:color w:val="auto"/>
          <w:spacing w:val="8"/>
          <w:sz w:val="24"/>
        </w:rPr>
      </w:pPr>
      <w:r>
        <w:rPr>
          <w:rFonts w:hint="eastAsia" w:hAnsi="宋体"/>
          <w:b/>
          <w:bCs/>
          <w:color w:val="auto"/>
          <w:sz w:val="24"/>
          <w:szCs w:val="32"/>
        </w:rPr>
        <w:t>附件</w:t>
      </w:r>
      <w:r>
        <w:rPr>
          <w:rFonts w:hint="eastAsia" w:hAnsi="宋体"/>
          <w:b/>
          <w:bCs/>
          <w:color w:val="auto"/>
          <w:sz w:val="24"/>
          <w:szCs w:val="32"/>
          <w:lang w:val="en-US" w:eastAsia="zh-CN"/>
        </w:rPr>
        <w:t>九</w:t>
      </w:r>
    </w:p>
    <w:p>
      <w:pPr>
        <w:pStyle w:val="15"/>
        <w:rPr>
          <w:rFonts w:hint="eastAsia"/>
          <w:sz w:val="36"/>
          <w:szCs w:val="36"/>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5B9BD5"/>
          <w:spacing w:val="8"/>
          <w:kern w:val="2"/>
          <w:sz w:val="36"/>
          <w:szCs w:val="36"/>
          <w:u w:val="single"/>
        </w:rPr>
      </w:pPr>
      <w:bookmarkStart w:id="17" w:name="_Toc30261"/>
      <w:bookmarkStart w:id="18" w:name="_Toc20201"/>
      <w:bookmarkStart w:id="19" w:name="_Toc28789"/>
      <w:bookmarkStart w:id="20" w:name="_Toc25940"/>
      <w:r>
        <w:rPr>
          <w:rStyle w:val="16"/>
          <w:rFonts w:hint="eastAsia" w:ascii="宋体" w:hAnsi="宋体" w:eastAsia="宋体" w:cs="宋体"/>
          <w:b/>
          <w:bCs w:val="0"/>
          <w:color w:val="auto"/>
          <w:sz w:val="36"/>
          <w:szCs w:val="36"/>
          <w:highlight w:val="none"/>
          <w:lang w:val="en-US" w:eastAsia="zh-CN"/>
        </w:rPr>
        <w:t>企业法定代表人资格证明（格式）</w:t>
      </w:r>
      <w:bookmarkEnd w:id="17"/>
      <w:bookmarkEnd w:id="18"/>
      <w:bookmarkEnd w:id="19"/>
      <w:bookmarkEnd w:id="20"/>
    </w:p>
    <w:p>
      <w:pPr>
        <w:pStyle w:val="11"/>
        <w:keepNext w:val="0"/>
        <w:keepLines w:val="0"/>
        <w:widowControl/>
        <w:suppressLineNumbers w:val="0"/>
        <w:spacing w:before="0" w:beforeAutospacing="0" w:after="0" w:afterAutospacing="0" w:line="500" w:lineRule="exact"/>
        <w:ind w:left="0" w:right="0"/>
        <w:jc w:val="both"/>
        <w:rPr>
          <w:rFonts w:hint="eastAsia" w:ascii="宋体" w:hAnsi="宋体" w:eastAsia="宋体" w:cs="宋体"/>
          <w:color w:val="5B9BD5"/>
          <w:kern w:val="0"/>
          <w:sz w:val="28"/>
          <w:szCs w:val="28"/>
        </w:rPr>
      </w:pPr>
      <w:r>
        <w:rPr>
          <w:rFonts w:hint="eastAsia" w:ascii="宋体" w:hAnsi="宋体" w:eastAsia="宋体" w:cs="宋体"/>
          <w:color w:val="5B9BD5"/>
          <w:kern w:val="0"/>
          <w:sz w:val="28"/>
          <w:szCs w:val="28"/>
          <w:lang w:val="en-US" w:eastAsia="zh-CN" w:bidi="ar"/>
        </w:rPr>
        <w:t xml:space="preserve"> </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（法人姓名）系（公司名字）的法定代表人，职务为______身份证号码为_________。</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pPr>
        <w:spacing w:line="360" w:lineRule="auto"/>
        <w:jc w:val="right"/>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w:t>
      </w:r>
      <w:r>
        <w:rPr>
          <w:rFonts w:hint="eastAsia" w:ascii="宋体" w:hAnsi="宋体"/>
          <w:color w:val="auto"/>
          <w:sz w:val="30"/>
          <w:szCs w:val="30"/>
          <w:highlight w:val="none"/>
          <w:u w:val="single"/>
        </w:rPr>
        <w:t>投标人名称</w:t>
      </w:r>
      <w:r>
        <w:rPr>
          <w:rFonts w:hint="eastAsia" w:ascii="宋体" w:hAnsi="宋体" w:eastAsia="宋体" w:cs="Times New Roman"/>
          <w:color w:val="auto"/>
          <w:sz w:val="30"/>
          <w:szCs w:val="30"/>
          <w:highlight w:val="none"/>
          <w:lang w:val="en-US" w:eastAsia="zh-CN"/>
        </w:rPr>
        <w:t>）（盖章）</w:t>
      </w:r>
    </w:p>
    <w:p>
      <w:pPr>
        <w:rPr>
          <w:rFonts w:hint="eastAsia" w:ascii="Times New Roman" w:hAnsi="宋体"/>
          <w:color w:val="auto"/>
          <w:highlight w:val="none"/>
        </w:rPr>
      </w:pPr>
    </w:p>
    <w:p>
      <w:pPr>
        <w:keepNext w:val="0"/>
        <w:keepLines w:val="0"/>
        <w:widowControl w:val="0"/>
        <w:suppressLineNumbers w:val="0"/>
        <w:spacing w:before="0" w:beforeAutospacing="0" w:after="100" w:afterAutospacing="0" w:line="500" w:lineRule="exact"/>
        <w:ind w:left="0" w:right="0" w:firstLine="5600" w:firstLineChars="2000"/>
        <w:jc w:val="righ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pPr>
        <w:spacing w:after="100" w:line="520" w:lineRule="exact"/>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rPr>
          <w:rFonts w:hint="eastAsia" w:hAnsi="宋体" w:cs="Arial"/>
          <w:bCs/>
          <w:color w:val="auto"/>
          <w:spacing w:val="8"/>
          <w:sz w:val="24"/>
        </w:rPr>
      </w:pPr>
    </w:p>
    <w:p>
      <w:pPr>
        <w:pStyle w:val="15"/>
        <w:ind w:left="0" w:leftChars="0" w:firstLine="0" w:firstLineChars="0"/>
        <w:rPr>
          <w:rFonts w:hint="eastAsia" w:hAnsi="宋体" w:cs="Arial"/>
          <w:bCs/>
          <w:color w:val="auto"/>
          <w:spacing w:val="8"/>
          <w:sz w:val="24"/>
        </w:rPr>
      </w:pPr>
    </w:p>
    <w:p>
      <w:pPr>
        <w:pStyle w:val="15"/>
        <w:rPr>
          <w:rFonts w:hint="eastAsia" w:hAnsi="宋体" w:cs="Arial"/>
          <w:bCs/>
          <w:color w:val="auto"/>
          <w:spacing w:val="8"/>
          <w:sz w:val="24"/>
        </w:rPr>
      </w:pPr>
    </w:p>
    <w:p>
      <w:pPr>
        <w:pStyle w:val="12"/>
        <w:keepNext w:val="0"/>
        <w:keepLines w:val="0"/>
        <w:pageBreakBefore w:val="0"/>
        <w:widowControl w:val="0"/>
        <w:kinsoku/>
        <w:wordWrap/>
        <w:overflowPunct/>
        <w:topLinePunct w:val="0"/>
        <w:autoSpaceDE/>
        <w:autoSpaceDN/>
        <w:bidi w:val="0"/>
        <w:adjustRightInd/>
        <w:snapToGrid/>
        <w:textAlignment w:val="auto"/>
        <w:rPr>
          <w:rFonts w:hint="default" w:ascii="Times New Roman" w:hAnsi="宋体" w:eastAsia="宋体"/>
          <w:color w:val="auto"/>
          <w:lang w:val="en-US" w:eastAsia="zh-CN"/>
        </w:rPr>
      </w:pPr>
      <w:bookmarkStart w:id="21" w:name="_Toc460486363"/>
      <w:bookmarkStart w:id="22" w:name="_Toc9398"/>
      <w:r>
        <w:rPr>
          <w:rFonts w:hint="eastAsia" w:ascii="Times New Roman" w:hAnsi="宋体"/>
          <w:color w:val="auto"/>
        </w:rPr>
        <w:t>附件</w:t>
      </w:r>
      <w:bookmarkEnd w:id="21"/>
      <w:bookmarkEnd w:id="22"/>
      <w:r>
        <w:rPr>
          <w:rFonts w:hint="eastAsia" w:ascii="Times New Roman" w:hAnsi="宋体"/>
          <w:color w:val="auto"/>
          <w:lang w:val="en-US" w:eastAsia="zh-CN"/>
        </w:rPr>
        <w:t>十</w:t>
      </w:r>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color w:val="FF0000"/>
          <w:sz w:val="30"/>
          <w:szCs w:val="30"/>
        </w:rPr>
        <w:t>20</w:t>
      </w:r>
      <w:r>
        <w:rPr>
          <w:rFonts w:hint="eastAsia"/>
          <w:color w:val="FF0000"/>
          <w:sz w:val="30"/>
          <w:szCs w:val="30"/>
          <w:lang w:val="en-US" w:eastAsia="zh-CN"/>
        </w:rPr>
        <w:t>25</w:t>
      </w:r>
      <w:r>
        <w:rPr>
          <w:color w:val="FF0000"/>
          <w:sz w:val="30"/>
          <w:szCs w:val="30"/>
        </w:rPr>
        <w:t>年</w:t>
      </w:r>
      <w:r>
        <w:rPr>
          <w:rFonts w:hint="eastAsia"/>
          <w:color w:val="FF0000"/>
          <w:sz w:val="30"/>
          <w:szCs w:val="30"/>
          <w:lang w:val="en-US" w:eastAsia="zh-CN"/>
        </w:rPr>
        <w:t xml:space="preserve"> </w:t>
      </w:r>
      <w:r>
        <w:rPr>
          <w:color w:val="FF0000"/>
          <w:sz w:val="30"/>
          <w:szCs w:val="30"/>
        </w:rPr>
        <w:t>月</w:t>
      </w:r>
      <w:r>
        <w:rPr>
          <w:rFonts w:hint="eastAsia"/>
          <w:color w:val="FF0000"/>
          <w:sz w:val="30"/>
          <w:szCs w:val="30"/>
          <w:lang w:val="en-US" w:eastAsia="zh-CN"/>
        </w:rPr>
        <w:t xml:space="preserve">  </w:t>
      </w:r>
      <w:r>
        <w:rPr>
          <w:color w:val="FF0000"/>
          <w:sz w:val="30"/>
          <w:szCs w:val="30"/>
        </w:rPr>
        <w:t>日</w:t>
      </w:r>
      <w:r>
        <w:rPr>
          <w:rFonts w:hint="eastAsia"/>
          <w:color w:val="FF0000"/>
          <w:sz w:val="30"/>
          <w:szCs w:val="30"/>
          <w:lang w:val="en-US" w:eastAsia="zh-CN"/>
        </w:rPr>
        <w:t xml:space="preserve">  </w:t>
      </w:r>
      <w:r>
        <w:rPr>
          <w:rFonts w:hint="eastAsia" w:hAnsi="宋体"/>
          <w:color w:val="auto"/>
          <w:sz w:val="30"/>
          <w:szCs w:val="30"/>
        </w:rPr>
        <w:t>开始的河南中原黄金冶炼厂有限责任公司</w:t>
      </w:r>
      <w:r>
        <w:rPr>
          <w:rFonts w:hint="eastAsia" w:hAnsi="宋体"/>
          <w:color w:val="auto"/>
          <w:sz w:val="30"/>
          <w:szCs w:val="30"/>
          <w:u w:val="single"/>
          <w:lang w:eastAsia="zh-CN"/>
        </w:rPr>
        <w:t>液压件修理年度合同</w:t>
      </w:r>
      <w:r>
        <w:rPr>
          <w:rFonts w:hint="eastAsia" w:hAnsi="宋体"/>
          <w:color w:val="auto"/>
          <w:sz w:val="30"/>
          <w:szCs w:val="30"/>
        </w:rPr>
        <w:t>的招标活动（招标编号为：</w:t>
      </w:r>
      <w:r>
        <w:rPr>
          <w:rFonts w:hint="eastAsia"/>
          <w:color w:val="auto"/>
          <w:sz w:val="30"/>
          <w:szCs w:val="30"/>
          <w:lang w:eastAsia="zh-CN"/>
        </w:rPr>
        <w:t>ZYYL-ZB2025042</w:t>
      </w:r>
      <w:r>
        <w:rPr>
          <w:rFonts w:hint="eastAsia"/>
          <w:color w:val="auto"/>
          <w:sz w:val="30"/>
          <w:szCs w:val="30"/>
          <w:lang w:val="en-US" w:eastAsia="zh-CN"/>
        </w:rPr>
        <w:t xml:space="preserve">     </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color w:val="auto"/>
          <w:sz w:val="30"/>
          <w:szCs w:val="30"/>
          <w:lang w:val="en-US" w:eastAsia="zh-CN"/>
        </w:rPr>
        <w:t xml:space="preserve">  </w:t>
      </w:r>
      <w:r>
        <w:rPr>
          <w:rFonts w:hint="eastAsia" w:hAnsi="宋体"/>
          <w:color w:val="auto"/>
          <w:sz w:val="30"/>
          <w:szCs w:val="30"/>
        </w:rPr>
        <w:t>月</w:t>
      </w:r>
      <w:r>
        <w:rPr>
          <w:rFonts w:hint="eastAsia" w:hAnsi="宋体"/>
          <w:color w:val="auto"/>
          <w:sz w:val="30"/>
          <w:szCs w:val="30"/>
          <w:lang w:val="en-US" w:eastAsia="zh-CN"/>
        </w:rPr>
        <w:t xml:space="preserve">    </w:t>
      </w:r>
      <w:r>
        <w:rPr>
          <w:rFonts w:hint="eastAsia"/>
          <w:color w:val="auto"/>
          <w:sz w:val="30"/>
          <w:szCs w:val="30"/>
        </w:rPr>
        <w:t xml:space="preserve"> </w:t>
      </w:r>
      <w:r>
        <w:rPr>
          <w:rFonts w:hint="eastAsia" w:hAnsi="宋体"/>
          <w:color w:val="auto"/>
          <w:sz w:val="30"/>
          <w:szCs w:val="30"/>
        </w:rPr>
        <w:t>日</w:t>
      </w:r>
    </w:p>
    <w:p>
      <w:pPr>
        <w:pStyle w:val="6"/>
        <w:rPr>
          <w:rFonts w:hint="eastAsia" w:ascii="Times New Roman" w:hAnsi="Times New Roman" w:cs="Arial"/>
          <w:b/>
          <w:color w:val="auto"/>
          <w:sz w:val="32"/>
          <w:szCs w:val="32"/>
        </w:rPr>
      </w:pPr>
    </w:p>
    <w:p>
      <w:pPr>
        <w:pStyle w:val="6"/>
        <w:rPr>
          <w:rFonts w:hint="eastAsia" w:ascii="Times New Roman" w:hAnsi="Times New Roman" w:cs="Arial"/>
          <w:b/>
          <w:color w:val="auto"/>
          <w:sz w:val="32"/>
          <w:szCs w:val="32"/>
        </w:rPr>
      </w:pPr>
    </w:p>
    <w:p>
      <w:pPr>
        <w:pStyle w:val="6"/>
        <w:rPr>
          <w:rFonts w:hint="eastAsia" w:ascii="Times New Roman" w:hAnsi="Times New Roman" w:cs="Arial"/>
          <w:b/>
          <w:color w:val="auto"/>
          <w:sz w:val="32"/>
          <w:szCs w:val="32"/>
        </w:rPr>
      </w:pPr>
    </w:p>
    <w:p>
      <w:pPr>
        <w:pStyle w:val="6"/>
        <w:rPr>
          <w:rFonts w:hint="eastAsia" w:ascii="Times New Roman" w:hAnsi="Times New Roman" w:cs="Arial"/>
          <w:b/>
          <w:color w:val="auto"/>
          <w:sz w:val="32"/>
          <w:szCs w:val="32"/>
        </w:rPr>
      </w:pPr>
    </w:p>
    <w:p>
      <w:pPr>
        <w:pStyle w:val="6"/>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2"/>
        <w:keepNext w:val="0"/>
        <w:keepLines w:val="0"/>
        <w:pageBreakBefore w:val="0"/>
        <w:widowControl w:val="0"/>
        <w:kinsoku/>
        <w:wordWrap/>
        <w:overflowPunct/>
        <w:topLinePunct w:val="0"/>
        <w:autoSpaceDE/>
        <w:autoSpaceDN/>
        <w:bidi w:val="0"/>
        <w:adjustRightInd/>
        <w:snapToGrid/>
        <w:textAlignment w:val="auto"/>
        <w:rPr>
          <w:rFonts w:hint="default" w:ascii="Times New Roman" w:hAnsi="宋体" w:eastAsia="宋体"/>
          <w:color w:val="auto"/>
          <w:lang w:val="en-US" w:eastAsia="zh-CN"/>
        </w:rPr>
      </w:pPr>
      <w:bookmarkStart w:id="23" w:name="_Toc460486364"/>
      <w:bookmarkStart w:id="24" w:name="_Toc32710"/>
      <w:r>
        <w:rPr>
          <w:rFonts w:hint="eastAsia" w:ascii="Times New Roman" w:hAnsi="宋体"/>
          <w:color w:val="auto"/>
        </w:rPr>
        <w:t>附件</w:t>
      </w:r>
      <w:bookmarkEnd w:id="23"/>
      <w:r>
        <w:rPr>
          <w:rFonts w:hint="eastAsia" w:ascii="Times New Roman" w:hAnsi="宋体"/>
          <w:color w:val="auto"/>
          <w:lang w:eastAsia="zh-CN"/>
        </w:rPr>
        <w:t>十</w:t>
      </w:r>
      <w:bookmarkEnd w:id="24"/>
      <w:r>
        <w:rPr>
          <w:rFonts w:hint="eastAsia" w:ascii="Times New Roman" w:hAnsi="宋体"/>
          <w:color w:val="auto"/>
          <w:lang w:val="en-US" w:eastAsia="zh-CN"/>
        </w:rPr>
        <w:t>一</w:t>
      </w:r>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hAnsi="宋体"/>
          <w:color w:val="auto"/>
          <w:sz w:val="30"/>
          <w:szCs w:val="30"/>
          <w:u w:val="single"/>
          <w:lang w:eastAsia="zh-CN"/>
        </w:rPr>
        <w:t>液压件修理年度合同</w:t>
      </w:r>
      <w:r>
        <w:rPr>
          <w:rFonts w:hint="eastAsia" w:ascii="宋体" w:hAnsi="宋体"/>
          <w:color w:val="auto"/>
          <w:sz w:val="30"/>
          <w:szCs w:val="30"/>
        </w:rPr>
        <w:t>，招标编号</w:t>
      </w:r>
      <w:r>
        <w:rPr>
          <w:rFonts w:hint="eastAsia" w:ascii="宋体" w:hAnsi="宋体"/>
          <w:color w:val="auto"/>
          <w:sz w:val="30"/>
          <w:szCs w:val="30"/>
          <w:lang w:eastAsia="zh-CN"/>
        </w:rPr>
        <w:t>ZYYL-ZB2025042</w:t>
      </w:r>
      <w:r>
        <w:rPr>
          <w:rFonts w:hint="eastAsia" w:ascii="宋体" w:hAnsi="宋体"/>
          <w:color w:val="auto"/>
          <w:sz w:val="30"/>
          <w:szCs w:val="30"/>
          <w:lang w:val="en-US" w:eastAsia="zh-CN"/>
        </w:rPr>
        <w:t xml:space="preserve"> </w:t>
      </w:r>
      <w:r>
        <w:rPr>
          <w:rFonts w:hint="eastAsia" w:ascii="宋体" w:hAnsi="宋体"/>
          <w:color w:val="auto"/>
          <w:sz w:val="30"/>
          <w:szCs w:val="30"/>
        </w:rPr>
        <w:t>，若我公司中标，严格按照甲方及</w:t>
      </w:r>
      <w:r>
        <w:rPr>
          <w:rFonts w:hint="eastAsia" w:ascii="宋体" w:hAnsi="宋体"/>
          <w:color w:val="auto"/>
          <w:sz w:val="30"/>
          <w:szCs w:val="30"/>
          <w:highlight w:val="none"/>
        </w:rPr>
        <w:t>甲方进度要求提供投标货物所需相关材料</w:t>
      </w:r>
      <w:r>
        <w:rPr>
          <w:rFonts w:hint="eastAsia" w:ascii="宋体" w:hAnsi="宋体"/>
          <w:color w:val="auto"/>
          <w:sz w:val="30"/>
          <w:szCs w:val="30"/>
        </w:rPr>
        <w:t>。</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p/>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r>
      <w:drawing>
        <wp:inline distT="0" distB="0" distL="114300" distR="114300">
          <wp:extent cx="259715" cy="224155"/>
          <wp:effectExtent l="0" t="0" r="6985" b="444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 xml:space="preserve">招标文件                                                   </w:t>
    </w:r>
    <w:r>
      <w:rPr>
        <w:rFonts w:hint="eastAsia"/>
        <w:b/>
        <w:lang w:eastAsia="zh-CN"/>
      </w:rPr>
      <w:t>招标</w:t>
    </w:r>
    <w:r>
      <w:rPr>
        <w:rFonts w:hint="eastAsia"/>
        <w:b/>
      </w:rPr>
      <w:t>编号</w:t>
    </w:r>
    <w:r>
      <w:rPr>
        <w:rFonts w:hint="eastAsia"/>
        <w:b/>
        <w:lang w:eastAsia="zh-CN"/>
      </w:rPr>
      <w:t>ZYYL-ZB2025042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jc w:val="both"/>
      <w:rPr>
        <w:rFonts w:hint="eastAsia" w:eastAsia="宋体"/>
        <w:b/>
        <w:lang w:val="en-US" w:eastAsia="zh-CN"/>
      </w:rPr>
    </w:pPr>
    <w:r>
      <w:drawing>
        <wp:inline distT="0" distB="0" distL="114300" distR="114300">
          <wp:extent cx="259715" cy="224155"/>
          <wp:effectExtent l="0" t="0" r="6985" b="444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招标文件                                                            招标编号</w:t>
    </w:r>
    <w:r>
      <w:rPr>
        <w:rFonts w:hint="eastAsia"/>
        <w:b/>
        <w:lang w:eastAsia="zh-CN"/>
      </w:rPr>
      <w:t>ZYYL-ZB2025030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311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paragraph" w:styleId="5">
    <w:name w:val="heading 2"/>
    <w:basedOn w:val="1"/>
    <w:next w:val="1"/>
    <w:qFormat/>
    <w:uiPriority w:val="0"/>
    <w:pPr>
      <w:keepNext/>
      <w:jc w:val="center"/>
      <w:outlineLvl w:val="1"/>
    </w:pPr>
    <w:rPr>
      <w:b/>
      <w:bCs/>
      <w:sz w:val="24"/>
    </w:rPr>
  </w:style>
  <w:style w:type="character" w:default="1" w:styleId="14">
    <w:name w:val="Default Paragraph Font"/>
    <w:semiHidden/>
    <w:uiPriority w:val="0"/>
  </w:style>
  <w:style w:type="table" w:default="1" w:styleId="13">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rPr>
      <w:rFonts w:ascii="Times New Roman"/>
      <w:sz w:val="21"/>
      <w:szCs w:val="28"/>
    </w:rPr>
  </w:style>
  <w:style w:type="paragraph" w:styleId="3">
    <w:name w:val="Body Text"/>
    <w:basedOn w:val="1"/>
    <w:next w:val="1"/>
    <w:qFormat/>
    <w:uiPriority w:val="0"/>
    <w:pPr>
      <w:spacing w:after="120"/>
    </w:p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jc w:val="left"/>
    </w:pPr>
    <w:rPr>
      <w:rFonts w:ascii="宋体" w:hAnsi="宋体" w:cs="宋体"/>
      <w:kern w:val="0"/>
      <w:sz w:val="24"/>
    </w:rPr>
  </w:style>
  <w:style w:type="paragraph" w:styleId="12">
    <w:name w:val="Title"/>
    <w:basedOn w:val="1"/>
    <w:next w:val="1"/>
    <w:qFormat/>
    <w:uiPriority w:val="0"/>
    <w:pPr>
      <w:spacing w:before="240" w:after="60"/>
      <w:jc w:val="left"/>
      <w:outlineLvl w:val="0"/>
    </w:pPr>
    <w:rPr>
      <w:rFonts w:ascii="Cambria" w:hAnsi="Cambria"/>
      <w:b/>
      <w:bCs/>
      <w:sz w:val="24"/>
      <w:szCs w:val="32"/>
    </w:rPr>
  </w:style>
  <w:style w:type="paragraph" w:customStyle="1" w:styleId="15">
    <w:name w:val="正文文本首行缩进1"/>
    <w:basedOn w:val="3"/>
    <w:qFormat/>
    <w:uiPriority w:val="0"/>
    <w:pPr>
      <w:tabs>
        <w:tab w:val="left" w:pos="0"/>
        <w:tab w:val="left" w:pos="993"/>
        <w:tab w:val="left" w:pos="1134"/>
      </w:tabs>
      <w:ind w:firstLine="420" w:firstLineChars="100"/>
    </w:pPr>
  </w:style>
  <w:style w:type="character" w:customStyle="1" w:styleId="16">
    <w:name w:val="标题2 Char Char"/>
    <w:link w:val="17"/>
    <w:qFormat/>
    <w:uiPriority w:val="0"/>
    <w:rPr>
      <w:rFonts w:ascii="黑体" w:hAnsi="Courier New" w:eastAsia="黑体"/>
      <w:sz w:val="28"/>
      <w:lang w:val="zh-CN"/>
    </w:rPr>
  </w:style>
  <w:style w:type="paragraph" w:customStyle="1" w:styleId="17">
    <w:name w:val="标题2"/>
    <w:basedOn w:val="5"/>
    <w:link w:val="16"/>
    <w:qFormat/>
    <w:uiPriority w:val="0"/>
    <w:pPr>
      <w:spacing w:before="0" w:beforeLines="0" w:after="0" w:afterLines="0" w:line="360" w:lineRule="auto"/>
      <w:jc w:val="left"/>
    </w:pPr>
    <w:rPr>
      <w:rFonts w:ascii="黑体" w:hAnsi="Courier New" w:eastAsia="黑体"/>
      <w:b w:val="0"/>
      <w:sz w:val="28"/>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2025-03-25T08:13:02Z</dcterms:created>
  <dc:creator>Administrator</dc:creator>
  <cp:lastModifiedBy>Administrator</cp:lastModifiedBy>
  <dcterms:modified xsi:type="dcterms:W3CDTF">2025-03-25T08:15:40Z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AF7850F6F64F4E1ABE5D370280F664F4</vt:lpwstr>
  </property>
</Properties>
</file>