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谈判项目要求</w:t>
      </w:r>
    </w:p>
    <w:p>
      <w:pPr>
        <w:spacing w:line="360" w:lineRule="auto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一、项目概况</w:t>
      </w:r>
    </w:p>
    <w:p>
      <w:pPr>
        <w:spacing w:line="360" w:lineRule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河南中原黄金冶炼厂有限责任公司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现对该谈判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项目公开公示</w:t>
      </w:r>
      <w:r>
        <w:rPr>
          <w:rFonts w:hint="eastAsia" w:ascii="仿宋" w:hAnsi="仿宋" w:eastAsia="仿宋" w:cs="仿宋"/>
          <w:sz w:val="28"/>
          <w:szCs w:val="28"/>
        </w:rPr>
        <w:t>，请有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参与</w:t>
      </w:r>
      <w:r>
        <w:rPr>
          <w:rFonts w:hint="eastAsia" w:ascii="仿宋" w:hAnsi="仿宋" w:eastAsia="仿宋" w:cs="仿宋"/>
          <w:sz w:val="28"/>
          <w:szCs w:val="28"/>
        </w:rPr>
        <w:t>意向的供应商提交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报名表和相关资质文件</w:t>
      </w:r>
      <w:r>
        <w:rPr>
          <w:rFonts w:hint="eastAsia" w:ascii="仿宋" w:hAnsi="仿宋" w:eastAsia="仿宋" w:cs="仿宋"/>
          <w:sz w:val="28"/>
          <w:szCs w:val="28"/>
        </w:rPr>
        <w:t>。</w:t>
      </w:r>
    </w:p>
    <w:p>
      <w:pPr>
        <w:numPr>
          <w:ilvl w:val="0"/>
          <w:numId w:val="1"/>
        </w:numPr>
        <w:spacing w:line="360" w:lineRule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谈判项目编号：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CGB2025173   </w:t>
      </w:r>
    </w:p>
    <w:p>
      <w:pPr>
        <w:numPr>
          <w:ilvl w:val="0"/>
          <w:numId w:val="1"/>
        </w:numPr>
        <w:spacing w:line="360" w:lineRule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项目名称：河南中原黄金冶炼厂有限责任公司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（危废渣资源化升级改造项目非标设备采购）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。</w:t>
      </w:r>
    </w:p>
    <w:p>
      <w:pPr>
        <w:numPr>
          <w:ilvl w:val="0"/>
          <w:numId w:val="1"/>
        </w:numPr>
        <w:spacing w:line="360" w:lineRule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业务管理部门: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工程部   </w:t>
      </w:r>
    </w:p>
    <w:p>
      <w:pPr>
        <w:numPr>
          <w:ilvl w:val="0"/>
          <w:numId w:val="2"/>
        </w:numPr>
        <w:spacing w:line="360" w:lineRule="auto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项目内容</w:t>
      </w:r>
    </w:p>
    <w:p>
      <w:pPr>
        <w:spacing w:after="100" w:line="360" w:lineRule="auto"/>
        <w:ind w:firstLine="482" w:firstLineChars="200"/>
        <w:rPr>
          <w:rFonts w:hint="eastAsia" w:ascii="宋体" w:hAnsi="宋体" w:eastAsia="宋体" w:cs="宋体"/>
          <w:b/>
          <w:color w:val="auto"/>
          <w:sz w:val="24"/>
          <w:szCs w:val="24"/>
        </w:rPr>
      </w:pPr>
      <w:r>
        <w:rPr>
          <w:rFonts w:hint="eastAsia" w:ascii="宋体" w:hAnsi="宋体" w:eastAsia="宋体" w:cs="宋体"/>
          <w:b/>
          <w:color w:val="auto"/>
          <w:sz w:val="24"/>
          <w:szCs w:val="24"/>
          <w:lang w:val="en-US" w:eastAsia="zh-CN"/>
        </w:rPr>
        <w:t>①</w:t>
      </w:r>
      <w:r>
        <w:rPr>
          <w:rFonts w:hint="eastAsia" w:ascii="宋体" w:hAnsi="宋体" w:eastAsia="宋体" w:cs="宋体"/>
          <w:b/>
          <w:color w:val="auto"/>
          <w:sz w:val="24"/>
          <w:szCs w:val="24"/>
        </w:rPr>
        <w:t>供货范围：投标方应成套供应如下设备</w:t>
      </w:r>
    </w:p>
    <w:tbl>
      <w:tblPr>
        <w:tblStyle w:val="4"/>
        <w:tblW w:w="953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8"/>
        <w:gridCol w:w="1809"/>
        <w:gridCol w:w="3395"/>
        <w:gridCol w:w="903"/>
        <w:gridCol w:w="27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3" w:hRule="atLeast"/>
          <w:jc w:val="center"/>
        </w:trPr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 w:eastAsia="宋体" w:cs="宋体"/>
                <w:b/>
                <w:cap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aps/>
                <w:sz w:val="24"/>
                <w:szCs w:val="24"/>
              </w:rPr>
              <w:t>序号</w:t>
            </w:r>
          </w:p>
        </w:tc>
        <w:tc>
          <w:tcPr>
            <w:tcW w:w="1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 w:eastAsia="宋体" w:cs="宋体"/>
                <w:b/>
                <w:cap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aps/>
                <w:sz w:val="24"/>
                <w:szCs w:val="24"/>
              </w:rPr>
              <w:t>货物名称</w:t>
            </w:r>
          </w:p>
        </w:tc>
        <w:tc>
          <w:tcPr>
            <w:tcW w:w="3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 w:eastAsia="宋体" w:cs="宋体"/>
                <w:b/>
                <w:cap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aps/>
                <w:sz w:val="24"/>
                <w:szCs w:val="24"/>
              </w:rPr>
              <w:t>规格型号</w:t>
            </w:r>
          </w:p>
        </w:tc>
        <w:tc>
          <w:tcPr>
            <w:tcW w:w="9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 w:eastAsia="宋体" w:cs="宋体"/>
                <w:b/>
                <w:cap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aps/>
                <w:sz w:val="24"/>
                <w:szCs w:val="24"/>
              </w:rPr>
              <w:t>数量</w:t>
            </w:r>
          </w:p>
        </w:tc>
        <w:tc>
          <w:tcPr>
            <w:tcW w:w="2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 w:eastAsia="宋体" w:cs="宋体"/>
                <w:b/>
                <w:cap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aps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1" w:hRule="atLeast"/>
          <w:jc w:val="center"/>
        </w:trPr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</w:t>
            </w:r>
          </w:p>
        </w:tc>
        <w:tc>
          <w:tcPr>
            <w:tcW w:w="1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1"/>
                <w:sz w:val="24"/>
                <w:szCs w:val="24"/>
              </w:rPr>
              <w:t>阳极泥搅拌槽</w:t>
            </w:r>
          </w:p>
        </w:tc>
        <w:tc>
          <w:tcPr>
            <w:tcW w:w="3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1"/>
                <w:sz w:val="24"/>
                <w:szCs w:val="24"/>
              </w:rPr>
              <w:t>ø2000×2000</w:t>
            </w:r>
            <w:r>
              <w:rPr>
                <w:rFonts w:hint="eastAsia" w:ascii="宋体" w:hAnsi="宋体" w:eastAsia="宋体" w:cs="宋体"/>
                <w:spacing w:val="1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spacing w:val="1"/>
                <w:sz w:val="24"/>
                <w:szCs w:val="24"/>
                <w:lang w:val="en-US" w:eastAsia="zh-CN"/>
              </w:rPr>
              <w:t>包含搅拌装置</w:t>
            </w:r>
            <w:r>
              <w:rPr>
                <w:rFonts w:hint="eastAsia" w:ascii="宋体" w:hAnsi="宋体" w:eastAsia="宋体" w:cs="宋体"/>
                <w:spacing w:val="1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9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1台</w:t>
            </w:r>
          </w:p>
        </w:tc>
        <w:tc>
          <w:tcPr>
            <w:tcW w:w="2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用于阳极泥的搅拌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1" w:hRule="atLeast"/>
          <w:jc w:val="center"/>
        </w:trPr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1"/>
                <w:sz w:val="24"/>
                <w:szCs w:val="24"/>
              </w:rPr>
              <w:t>阳极泥浆化槽</w:t>
            </w:r>
          </w:p>
        </w:tc>
        <w:tc>
          <w:tcPr>
            <w:tcW w:w="3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1"/>
                <w:sz w:val="24"/>
                <w:szCs w:val="24"/>
              </w:rPr>
              <w:t>ø2000×2000</w:t>
            </w:r>
            <w:r>
              <w:rPr>
                <w:rFonts w:hint="eastAsia" w:ascii="宋体" w:hAnsi="宋体" w:eastAsia="宋体" w:cs="宋体"/>
                <w:spacing w:val="1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spacing w:val="1"/>
                <w:sz w:val="24"/>
                <w:szCs w:val="24"/>
                <w:lang w:val="en-US" w:eastAsia="zh-CN"/>
              </w:rPr>
              <w:t>包含搅拌装置</w:t>
            </w:r>
            <w:r>
              <w:rPr>
                <w:rFonts w:hint="eastAsia" w:ascii="宋体" w:hAnsi="宋体" w:eastAsia="宋体" w:cs="宋体"/>
                <w:spacing w:val="1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9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1台</w:t>
            </w:r>
          </w:p>
        </w:tc>
        <w:tc>
          <w:tcPr>
            <w:tcW w:w="2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pacing w:val="-1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用于阳极泥的浆</w:t>
            </w:r>
            <w:r>
              <w:rPr>
                <w:rFonts w:hint="eastAsia" w:ascii="宋体" w:hAnsi="宋体" w:eastAsia="宋体" w:cs="宋体"/>
                <w:spacing w:val="-1"/>
                <w:sz w:val="24"/>
                <w:szCs w:val="24"/>
              </w:rPr>
              <w:t>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1" w:hRule="atLeast"/>
          <w:jc w:val="center"/>
        </w:trPr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1"/>
                <w:sz w:val="24"/>
                <w:szCs w:val="24"/>
              </w:rPr>
              <w:t>真空受液罐</w:t>
            </w:r>
          </w:p>
        </w:tc>
        <w:tc>
          <w:tcPr>
            <w:tcW w:w="3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1"/>
                <w:sz w:val="24"/>
                <w:szCs w:val="24"/>
              </w:rPr>
              <w:t>ø2000×2000</w:t>
            </w:r>
          </w:p>
        </w:tc>
        <w:tc>
          <w:tcPr>
            <w:tcW w:w="9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1台</w:t>
            </w:r>
          </w:p>
        </w:tc>
        <w:tc>
          <w:tcPr>
            <w:tcW w:w="2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pacing w:val="-1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用于抽阳极泥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1" w:hRule="atLeast"/>
          <w:jc w:val="center"/>
        </w:trPr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1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热水槽</w:t>
            </w:r>
          </w:p>
        </w:tc>
        <w:tc>
          <w:tcPr>
            <w:tcW w:w="3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1"/>
                <w:sz w:val="24"/>
                <w:szCs w:val="24"/>
              </w:rPr>
              <w:t>ø2000×2000</w:t>
            </w:r>
          </w:p>
        </w:tc>
        <w:tc>
          <w:tcPr>
            <w:tcW w:w="9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1台</w:t>
            </w:r>
          </w:p>
        </w:tc>
        <w:tc>
          <w:tcPr>
            <w:tcW w:w="2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pacing w:val="-1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用于热水的贮存与加热</w:t>
            </w:r>
          </w:p>
        </w:tc>
      </w:tr>
    </w:tbl>
    <w:p>
      <w:pPr>
        <w:spacing w:after="100" w:line="360" w:lineRule="auto"/>
        <w:ind w:firstLine="482" w:firstLineChars="200"/>
        <w:rPr>
          <w:rFonts w:hint="eastAsia" w:ascii="宋体" w:hAnsi="宋体" w:eastAsia="宋体" w:cs="宋体"/>
          <w:b/>
          <w:color w:val="auto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color w:val="auto"/>
          <w:sz w:val="24"/>
          <w:szCs w:val="24"/>
          <w:lang w:val="en-US" w:eastAsia="zh-CN"/>
        </w:rPr>
        <w:t>② 技术要求</w:t>
      </w:r>
    </w:p>
    <w:p>
      <w:pPr>
        <w:spacing w:after="100" w:line="360" w:lineRule="auto"/>
        <w:ind w:firstLine="482" w:firstLineChars="200"/>
        <w:rPr>
          <w:rFonts w:hint="eastAsia" w:ascii="宋体" w:hAnsi="宋体" w:eastAsia="宋体" w:cs="宋体"/>
          <w:b/>
          <w:color w:val="auto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color w:val="auto"/>
          <w:sz w:val="24"/>
          <w:szCs w:val="24"/>
          <w:lang w:val="en-US" w:eastAsia="zh-CN"/>
        </w:rPr>
        <w:t>一、</w:t>
      </w:r>
      <w:r>
        <w:rPr>
          <w:rFonts w:hint="eastAsia" w:ascii="宋体" w:hAnsi="宋体" w:eastAsia="宋体" w:cs="宋体"/>
          <w:spacing w:val="-1"/>
          <w:sz w:val="24"/>
          <w:szCs w:val="24"/>
        </w:rPr>
        <w:t>钢制非标设备</w:t>
      </w:r>
      <w:r>
        <w:rPr>
          <w:rFonts w:hint="eastAsia" w:ascii="宋体" w:hAnsi="宋体" w:eastAsia="宋体" w:cs="宋体"/>
          <w:spacing w:val="-1"/>
          <w:sz w:val="24"/>
          <w:szCs w:val="24"/>
          <w:lang w:val="en-US" w:eastAsia="zh-CN"/>
        </w:rPr>
        <w:t>要求：</w:t>
      </w:r>
    </w:p>
    <w:p>
      <w:pPr>
        <w:pStyle w:val="7"/>
        <w:spacing w:before="133" w:line="282" w:lineRule="auto"/>
        <w:ind w:left="105" w:firstLine="504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pacing w:val="-4"/>
          <w:sz w:val="24"/>
          <w:szCs w:val="24"/>
        </w:rPr>
        <w:t>(1)ø2000×2000阳极泥搅拌槽材质主要为钢衬PO,锅底</w:t>
      </w:r>
      <w:r>
        <w:rPr>
          <w:rFonts w:hint="eastAsia" w:ascii="宋体" w:hAnsi="宋体" w:eastAsia="宋体" w:cs="宋体"/>
          <w:spacing w:val="-5"/>
          <w:sz w:val="24"/>
          <w:szCs w:val="24"/>
        </w:rPr>
        <w:t>平盖，二层楼板放置，由槽盖、槽体及</w:t>
      </w:r>
      <w:r>
        <w:rPr>
          <w:rFonts w:hint="eastAsia" w:ascii="宋体" w:hAnsi="宋体" w:eastAsia="宋体" w:cs="宋体"/>
          <w:sz w:val="24"/>
          <w:szCs w:val="24"/>
        </w:rPr>
        <w:t xml:space="preserve">  </w:t>
      </w:r>
      <w:r>
        <w:rPr>
          <w:rFonts w:hint="eastAsia" w:ascii="宋体" w:hAnsi="宋体" w:eastAsia="宋体" w:cs="宋体"/>
          <w:spacing w:val="-7"/>
          <w:sz w:val="24"/>
          <w:szCs w:val="24"/>
        </w:rPr>
        <w:t>其他零部件组成。每台设备初步估计总重约240</w:t>
      </w:r>
      <w:r>
        <w:rPr>
          <w:rFonts w:hint="eastAsia" w:ascii="宋体" w:hAnsi="宋体" w:eastAsia="宋体" w:cs="宋体"/>
          <w:spacing w:val="-8"/>
          <w:sz w:val="24"/>
          <w:szCs w:val="24"/>
        </w:rPr>
        <w:t>0kg(不包括搅拌装置);盖、壁、锅底厚度分别为8mm、</w:t>
      </w:r>
      <w:r>
        <w:rPr>
          <w:rFonts w:hint="eastAsia" w:ascii="宋体" w:hAnsi="宋体" w:eastAsia="宋体" w:cs="宋体"/>
          <w:sz w:val="24"/>
          <w:szCs w:val="24"/>
        </w:rPr>
        <w:t xml:space="preserve"> </w:t>
      </w:r>
      <w:r>
        <w:rPr>
          <w:rFonts w:hint="eastAsia" w:ascii="宋体" w:hAnsi="宋体" w:eastAsia="宋体" w:cs="宋体"/>
          <w:spacing w:val="-3"/>
          <w:sz w:val="24"/>
          <w:szCs w:val="24"/>
        </w:rPr>
        <w:t>10mm、10mm;</w:t>
      </w:r>
    </w:p>
    <w:p>
      <w:pPr>
        <w:pStyle w:val="7"/>
        <w:spacing w:before="120" w:line="288" w:lineRule="auto"/>
        <w:ind w:left="105" w:firstLine="504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pacing w:val="-2"/>
          <w:sz w:val="24"/>
          <w:szCs w:val="24"/>
        </w:rPr>
        <w:t>(2)ø2000x2000阳极泥浆化槽材质主要为钢衬PO,平底平盖，地面放置，由槽盖</w:t>
      </w:r>
      <w:r>
        <w:rPr>
          <w:rFonts w:hint="eastAsia" w:ascii="宋体" w:hAnsi="宋体" w:eastAsia="宋体" w:cs="宋体"/>
          <w:spacing w:val="-3"/>
          <w:sz w:val="24"/>
          <w:szCs w:val="24"/>
        </w:rPr>
        <w:t>、槽体及其他</w:t>
      </w:r>
      <w:r>
        <w:rPr>
          <w:rFonts w:hint="eastAsia" w:ascii="宋体" w:hAnsi="宋体" w:eastAsia="宋体" w:cs="宋体"/>
          <w:sz w:val="24"/>
          <w:szCs w:val="24"/>
        </w:rPr>
        <w:t xml:space="preserve">  </w:t>
      </w:r>
      <w:r>
        <w:rPr>
          <w:rFonts w:hint="eastAsia" w:ascii="宋体" w:hAnsi="宋体" w:eastAsia="宋体" w:cs="宋体"/>
          <w:spacing w:val="-11"/>
          <w:sz w:val="24"/>
          <w:szCs w:val="24"/>
        </w:rPr>
        <w:t>零部件组成。每台设备初步估计总重约2300kg(不包括搅拌装置);盖、壁、平</w:t>
      </w:r>
      <w:r>
        <w:rPr>
          <w:rFonts w:hint="eastAsia" w:ascii="宋体" w:hAnsi="宋体" w:eastAsia="宋体" w:cs="宋体"/>
          <w:spacing w:val="-12"/>
          <w:sz w:val="24"/>
          <w:szCs w:val="24"/>
        </w:rPr>
        <w:t>底厚度分别为8mm、10mm、</w:t>
      </w:r>
      <w:r>
        <w:rPr>
          <w:rFonts w:hint="eastAsia" w:ascii="宋体" w:hAnsi="宋体" w:eastAsia="宋体" w:cs="宋体"/>
          <w:sz w:val="24"/>
          <w:szCs w:val="24"/>
        </w:rPr>
        <w:t xml:space="preserve"> </w:t>
      </w:r>
      <w:r>
        <w:rPr>
          <w:rFonts w:hint="eastAsia" w:ascii="宋体" w:hAnsi="宋体" w:eastAsia="宋体" w:cs="宋体"/>
          <w:spacing w:val="-4"/>
          <w:sz w:val="24"/>
          <w:szCs w:val="24"/>
        </w:rPr>
        <w:t>10mm;</w:t>
      </w:r>
    </w:p>
    <w:p>
      <w:pPr>
        <w:pStyle w:val="7"/>
        <w:spacing w:before="109" w:line="265" w:lineRule="auto"/>
        <w:ind w:left="115" w:firstLine="489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pacing w:val="-7"/>
          <w:sz w:val="24"/>
          <w:szCs w:val="24"/>
        </w:rPr>
        <w:t>(3)</w:t>
      </w:r>
      <w:r>
        <w:rPr>
          <w:rFonts w:hint="eastAsia" w:ascii="宋体" w:hAnsi="宋体" w:eastAsia="宋体" w:cs="宋体"/>
          <w:spacing w:val="-4"/>
          <w:sz w:val="24"/>
          <w:szCs w:val="24"/>
          <w:lang w:val="en-US" w:eastAsia="zh-CN"/>
        </w:rPr>
        <w:t>φ</w:t>
      </w:r>
      <w:r>
        <w:rPr>
          <w:rFonts w:hint="eastAsia" w:ascii="宋体" w:hAnsi="宋体" w:eastAsia="宋体" w:cs="宋体"/>
          <w:spacing w:val="-7"/>
          <w:sz w:val="24"/>
          <w:szCs w:val="24"/>
        </w:rPr>
        <w:t>2000×2000真空受液罐材质主要为不锈钢321,由封头、槽体及其他零部件组成。每台设备</w:t>
      </w:r>
      <w:r>
        <w:rPr>
          <w:rFonts w:hint="eastAsia" w:ascii="宋体" w:hAnsi="宋体" w:eastAsia="宋体" w:cs="宋体"/>
          <w:spacing w:val="16"/>
          <w:sz w:val="24"/>
          <w:szCs w:val="24"/>
        </w:rPr>
        <w:t xml:space="preserve"> </w:t>
      </w:r>
      <w:r>
        <w:rPr>
          <w:rFonts w:hint="eastAsia" w:ascii="宋体" w:hAnsi="宋体" w:eastAsia="宋体" w:cs="宋体"/>
          <w:spacing w:val="1"/>
          <w:sz w:val="24"/>
          <w:szCs w:val="24"/>
        </w:rPr>
        <w:t>初步估计总重约2800</w:t>
      </w:r>
      <w:r>
        <w:rPr>
          <w:rFonts w:hint="eastAsia" w:ascii="宋体" w:hAnsi="宋体" w:eastAsia="宋体" w:cs="宋体"/>
          <w:sz w:val="24"/>
          <w:szCs w:val="24"/>
        </w:rPr>
        <w:t>kg</w:t>
      </w:r>
      <w:r>
        <w:rPr>
          <w:rFonts w:hint="eastAsia" w:ascii="宋体" w:hAnsi="宋体" w:eastAsia="宋体" w:cs="宋体"/>
          <w:spacing w:val="1"/>
          <w:sz w:val="24"/>
          <w:szCs w:val="24"/>
        </w:rPr>
        <w:t>;封头、壁、锥底厚度均为12</w:t>
      </w:r>
      <w:r>
        <w:rPr>
          <w:rFonts w:hint="eastAsia" w:ascii="宋体" w:hAnsi="宋体" w:eastAsia="宋体" w:cs="宋体"/>
          <w:sz w:val="24"/>
          <w:szCs w:val="24"/>
        </w:rPr>
        <w:t>mm</w:t>
      </w:r>
      <w:r>
        <w:rPr>
          <w:rFonts w:hint="eastAsia" w:ascii="宋体" w:hAnsi="宋体" w:eastAsia="宋体" w:cs="宋体"/>
          <w:spacing w:val="1"/>
          <w:sz w:val="24"/>
          <w:szCs w:val="24"/>
        </w:rPr>
        <w:t>;</w:t>
      </w:r>
    </w:p>
    <w:p>
      <w:pPr>
        <w:pStyle w:val="7"/>
        <w:spacing w:before="109" w:line="265" w:lineRule="auto"/>
        <w:ind w:left="115" w:firstLine="489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pacing w:val="-4"/>
          <w:sz w:val="24"/>
          <w:szCs w:val="24"/>
        </w:rPr>
        <w:t>(4)</w:t>
      </w:r>
      <w:r>
        <w:rPr>
          <w:rFonts w:hint="eastAsia" w:ascii="宋体" w:hAnsi="宋体" w:eastAsia="宋体" w:cs="宋体"/>
          <w:spacing w:val="-4"/>
          <w:sz w:val="24"/>
          <w:szCs w:val="24"/>
          <w:lang w:val="en-US" w:eastAsia="zh-CN"/>
        </w:rPr>
        <w:t>φ</w:t>
      </w:r>
      <w:r>
        <w:rPr>
          <w:rFonts w:hint="eastAsia" w:ascii="宋体" w:hAnsi="宋体" w:eastAsia="宋体" w:cs="宋体"/>
          <w:spacing w:val="-4"/>
          <w:sz w:val="24"/>
          <w:szCs w:val="24"/>
        </w:rPr>
        <w:t>2000×2000热水槽材质主要为Q235B,平底，由槽盖</w:t>
      </w:r>
      <w:r>
        <w:rPr>
          <w:rFonts w:hint="eastAsia" w:ascii="宋体" w:hAnsi="宋体" w:eastAsia="宋体" w:cs="宋体"/>
          <w:spacing w:val="-5"/>
          <w:sz w:val="24"/>
          <w:szCs w:val="24"/>
        </w:rPr>
        <w:t>、槽体及其他零部件组成。每台设备初</w:t>
      </w:r>
      <w:r>
        <w:rPr>
          <w:rFonts w:hint="eastAsia" w:ascii="宋体" w:hAnsi="宋体" w:eastAsia="宋体" w:cs="宋体"/>
          <w:spacing w:val="1"/>
          <w:sz w:val="24"/>
          <w:szCs w:val="24"/>
        </w:rPr>
        <w:t>步估计总重约1800</w:t>
      </w:r>
      <w:r>
        <w:rPr>
          <w:rFonts w:hint="eastAsia" w:ascii="宋体" w:hAnsi="宋体" w:eastAsia="宋体" w:cs="宋体"/>
          <w:sz w:val="24"/>
          <w:szCs w:val="24"/>
        </w:rPr>
        <w:t>kg</w:t>
      </w:r>
      <w:r>
        <w:rPr>
          <w:rFonts w:hint="eastAsia" w:ascii="宋体" w:hAnsi="宋体" w:eastAsia="宋体" w:cs="宋体"/>
          <w:spacing w:val="1"/>
          <w:sz w:val="24"/>
          <w:szCs w:val="24"/>
        </w:rPr>
        <w:t>,盖、壁、平底厚度分别为8</w:t>
      </w:r>
      <w:r>
        <w:rPr>
          <w:rFonts w:hint="eastAsia" w:ascii="宋体" w:hAnsi="宋体" w:eastAsia="宋体" w:cs="宋体"/>
          <w:sz w:val="24"/>
          <w:szCs w:val="24"/>
        </w:rPr>
        <w:t>mm</w:t>
      </w:r>
      <w:r>
        <w:rPr>
          <w:rFonts w:hint="eastAsia" w:ascii="宋体" w:hAnsi="宋体" w:eastAsia="宋体" w:cs="宋体"/>
          <w:spacing w:val="1"/>
          <w:sz w:val="24"/>
          <w:szCs w:val="24"/>
        </w:rPr>
        <w:t>、8</w:t>
      </w:r>
      <w:r>
        <w:rPr>
          <w:rFonts w:hint="eastAsia" w:ascii="宋体" w:hAnsi="宋体" w:eastAsia="宋体" w:cs="宋体"/>
          <w:sz w:val="24"/>
          <w:szCs w:val="24"/>
        </w:rPr>
        <w:t>mm</w:t>
      </w:r>
      <w:r>
        <w:rPr>
          <w:rFonts w:hint="eastAsia" w:ascii="宋体" w:hAnsi="宋体" w:eastAsia="宋体" w:cs="宋体"/>
          <w:spacing w:val="1"/>
          <w:sz w:val="24"/>
          <w:szCs w:val="24"/>
        </w:rPr>
        <w:t>、10</w:t>
      </w:r>
      <w:r>
        <w:rPr>
          <w:rFonts w:hint="eastAsia" w:ascii="宋体" w:hAnsi="宋体" w:eastAsia="宋体" w:cs="宋体"/>
          <w:sz w:val="24"/>
          <w:szCs w:val="24"/>
        </w:rPr>
        <w:t>mm</w:t>
      </w:r>
      <w:r>
        <w:rPr>
          <w:rFonts w:hint="eastAsia" w:ascii="宋体" w:hAnsi="宋体" w:eastAsia="宋体" w:cs="宋体"/>
          <w:spacing w:val="1"/>
          <w:sz w:val="24"/>
          <w:szCs w:val="24"/>
        </w:rPr>
        <w:t>;</w:t>
      </w:r>
    </w:p>
    <w:p>
      <w:pPr>
        <w:pStyle w:val="7"/>
        <w:spacing w:before="150" w:line="266" w:lineRule="auto"/>
        <w:ind w:left="115" w:right="4" w:firstLine="479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(5)阳极泥搅拌槽与浆化槽的衬里P0厚度建议为6mm,参照GB/T 50276-2023《工业设备及管道</w:t>
      </w:r>
      <w:r>
        <w:rPr>
          <w:rFonts w:hint="eastAsia" w:ascii="宋体" w:hAnsi="宋体" w:eastAsia="宋体" w:cs="宋体"/>
          <w:spacing w:val="-1"/>
          <w:sz w:val="24"/>
          <w:szCs w:val="24"/>
        </w:rPr>
        <w:t>防腐蚀工程技术标准》</w:t>
      </w:r>
    </w:p>
    <w:p>
      <w:pPr>
        <w:pStyle w:val="7"/>
        <w:spacing w:before="109" w:line="273" w:lineRule="auto"/>
        <w:ind w:left="1054" w:right="14" w:hanging="459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(6)真空受液罐按GB/T150.17150.4-2024《压力容器》及1号修改单进行</w:t>
      </w:r>
    </w:p>
    <w:p>
      <w:pPr>
        <w:pStyle w:val="7"/>
        <w:spacing w:before="109" w:line="273" w:lineRule="auto"/>
        <w:ind w:right="14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制造、检验和验</w:t>
      </w:r>
      <w:r>
        <w:rPr>
          <w:rFonts w:hint="eastAsia" w:ascii="宋体" w:hAnsi="宋体" w:eastAsia="宋体" w:cs="宋体"/>
          <w:spacing w:val="-1"/>
          <w:sz w:val="24"/>
          <w:szCs w:val="24"/>
        </w:rPr>
        <w:t>收</w:t>
      </w:r>
      <w:r>
        <w:rPr>
          <w:rFonts w:hint="eastAsia" w:ascii="宋体" w:hAnsi="宋体" w:eastAsia="宋体" w:cs="宋体"/>
          <w:spacing w:val="-1"/>
          <w:sz w:val="24"/>
          <w:szCs w:val="24"/>
          <w:lang w:val="en-US" w:eastAsia="zh-CN"/>
        </w:rPr>
        <w:t>。</w:t>
      </w:r>
      <w:r>
        <w:rPr>
          <w:rFonts w:hint="eastAsia" w:ascii="宋体" w:hAnsi="宋体" w:eastAsia="宋体" w:cs="宋体"/>
          <w:spacing w:val="3"/>
          <w:sz w:val="24"/>
          <w:szCs w:val="24"/>
        </w:rPr>
        <w:t>其他设备按</w:t>
      </w:r>
      <w:r>
        <w:rPr>
          <w:rFonts w:hint="eastAsia" w:ascii="宋体" w:hAnsi="宋体" w:eastAsia="宋体" w:cs="宋体"/>
          <w:sz w:val="24"/>
          <w:szCs w:val="24"/>
        </w:rPr>
        <w:t>NB</w:t>
      </w:r>
      <w:r>
        <w:rPr>
          <w:rFonts w:hint="eastAsia" w:ascii="宋体" w:hAnsi="宋体" w:eastAsia="宋体" w:cs="宋体"/>
          <w:spacing w:val="3"/>
          <w:sz w:val="24"/>
          <w:szCs w:val="24"/>
        </w:rPr>
        <w:t>/T47003.1-2022《常压容器》进行制造、试验和验收；</w:t>
      </w:r>
    </w:p>
    <w:p>
      <w:pPr>
        <w:pStyle w:val="7"/>
        <w:spacing w:before="117" w:line="219" w:lineRule="auto"/>
        <w:ind w:left="615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(7)设备中所有材料及其安装应符合相关行业、国家标准和规范的要求，应</w:t>
      </w:r>
    </w:p>
    <w:p>
      <w:pPr>
        <w:pStyle w:val="7"/>
        <w:spacing w:before="117" w:line="219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是全新</w:t>
      </w:r>
      <w:r>
        <w:rPr>
          <w:rFonts w:hint="eastAsia" w:ascii="宋体" w:hAnsi="宋体" w:eastAsia="宋体" w:cs="宋体"/>
          <w:spacing w:val="-1"/>
          <w:sz w:val="24"/>
          <w:szCs w:val="24"/>
        </w:rPr>
        <w:t>的。</w:t>
      </w:r>
    </w:p>
    <w:p>
      <w:pPr>
        <w:pStyle w:val="7"/>
        <w:spacing w:before="131" w:line="220" w:lineRule="auto"/>
        <w:ind w:left="615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pacing w:val="4"/>
          <w:sz w:val="24"/>
          <w:szCs w:val="24"/>
        </w:rPr>
        <w:t>(8)设备的设计与制造须选用具有专业资质的厂家；</w:t>
      </w:r>
    </w:p>
    <w:p>
      <w:pPr>
        <w:pStyle w:val="7"/>
        <w:spacing w:before="126" w:line="219" w:lineRule="auto"/>
        <w:ind w:left="615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pacing w:val="3"/>
          <w:sz w:val="24"/>
          <w:szCs w:val="24"/>
        </w:rPr>
        <w:t>(9)本设备所有以不锈钢为材料的零、部件，均应进行酸洗钝化处理；</w:t>
      </w:r>
    </w:p>
    <w:p>
      <w:pPr>
        <w:pStyle w:val="7"/>
        <w:spacing w:before="101" w:line="219" w:lineRule="auto"/>
        <w:ind w:left="615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pacing w:val="1"/>
          <w:sz w:val="24"/>
          <w:szCs w:val="24"/>
        </w:rPr>
        <w:t>(10)设计使用年限至少20年；(不包括腐蚀、磨损等易损件)</w:t>
      </w:r>
    </w:p>
    <w:p>
      <w:pPr>
        <w:pStyle w:val="7"/>
        <w:spacing w:before="127" w:line="219" w:lineRule="auto"/>
        <w:ind w:left="595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(11)设备的任何零部件不允许使用石棉或含有石棉的材料。</w:t>
      </w:r>
    </w:p>
    <w:p>
      <w:pPr>
        <w:pStyle w:val="7"/>
        <w:spacing w:before="100" w:line="277" w:lineRule="auto"/>
        <w:ind w:left="115" w:firstLine="489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pacing w:val="-5"/>
          <w:sz w:val="24"/>
          <w:szCs w:val="24"/>
        </w:rPr>
        <w:t>(12)投标者应按照设备招标图纸、本说明书，根据已有经验确定主体材料以外的零部件所</w:t>
      </w:r>
      <w:r>
        <w:rPr>
          <w:rFonts w:hint="eastAsia" w:ascii="宋体" w:hAnsi="宋体" w:eastAsia="宋体" w:cs="宋体"/>
          <w:spacing w:val="-6"/>
          <w:sz w:val="24"/>
          <w:szCs w:val="24"/>
        </w:rPr>
        <w:t>用材</w:t>
      </w:r>
      <w:r>
        <w:rPr>
          <w:rFonts w:hint="eastAsia" w:ascii="宋体" w:hAnsi="宋体" w:eastAsia="宋体" w:cs="宋体"/>
          <w:spacing w:val="-1"/>
          <w:sz w:val="24"/>
          <w:szCs w:val="24"/>
        </w:rPr>
        <w:t>质，并对所用材料的适用性负责。</w:t>
      </w:r>
    </w:p>
    <w:p>
      <w:pPr>
        <w:pStyle w:val="7"/>
        <w:spacing w:before="111" w:line="219" w:lineRule="auto"/>
        <w:ind w:left="605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(13)应保证每年330天、每天24小时，无故障连续、安全可靠地使用。</w:t>
      </w:r>
    </w:p>
    <w:p>
      <w:pPr>
        <w:pStyle w:val="7"/>
        <w:spacing w:before="111" w:line="219" w:lineRule="auto"/>
        <w:ind w:left="605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color w:val="auto"/>
          <w:spacing w:val="-1"/>
          <w:sz w:val="24"/>
          <w:szCs w:val="24"/>
          <w:lang w:val="en-US" w:eastAsia="zh-CN"/>
        </w:rPr>
        <w:t>（14）</w:t>
      </w:r>
      <w:r>
        <w:rPr>
          <w:rFonts w:hint="eastAsia" w:ascii="宋体" w:hAnsi="宋体" w:eastAsia="宋体" w:cs="宋体"/>
          <w:color w:val="FF0000"/>
          <w:spacing w:val="-1"/>
          <w:sz w:val="24"/>
          <w:szCs w:val="24"/>
          <w:lang w:val="en-US" w:eastAsia="zh-CN"/>
        </w:rPr>
        <w:t>包含压力容器的注册和报备。</w:t>
      </w:r>
    </w:p>
    <w:p>
      <w:pPr>
        <w:pStyle w:val="7"/>
        <w:spacing w:before="105" w:line="219" w:lineRule="auto"/>
        <w:ind w:left="95"/>
        <w:rPr>
          <w:rFonts w:hint="eastAsia" w:ascii="宋体" w:hAnsi="宋体" w:eastAsia="宋体" w:cs="宋体"/>
          <w:spacing w:val="1"/>
          <w:sz w:val="24"/>
          <w:szCs w:val="24"/>
        </w:rPr>
      </w:pPr>
      <w:r>
        <w:rPr>
          <w:rFonts w:hint="eastAsia" w:ascii="宋体" w:hAnsi="宋体" w:eastAsia="宋体" w:cs="宋体"/>
          <w:bCs/>
          <w:color w:val="000000"/>
          <w:sz w:val="24"/>
          <w:szCs w:val="24"/>
          <w:lang w:val="en-US" w:eastAsia="zh-CN"/>
        </w:rPr>
        <w:t>二、</w:t>
      </w:r>
      <w:r>
        <w:rPr>
          <w:rFonts w:hint="eastAsia" w:ascii="宋体" w:hAnsi="宋体" w:eastAsia="宋体" w:cs="宋体"/>
          <w:spacing w:val="1"/>
          <w:sz w:val="24"/>
          <w:szCs w:val="24"/>
        </w:rPr>
        <w:t>搅拌装置要求</w:t>
      </w:r>
      <w:r>
        <w:rPr>
          <w:rFonts w:hint="eastAsia" w:ascii="宋体" w:hAnsi="宋体" w:eastAsia="宋体" w:cs="宋体"/>
          <w:spacing w:val="1"/>
          <w:sz w:val="24"/>
          <w:szCs w:val="24"/>
          <w:lang w:eastAsia="zh-CN"/>
        </w:rPr>
        <w:t>（</w:t>
      </w:r>
      <w:r>
        <w:rPr>
          <w:rFonts w:hint="eastAsia" w:ascii="宋体" w:hAnsi="宋体" w:eastAsia="宋体" w:cs="宋体"/>
          <w:spacing w:val="1"/>
          <w:sz w:val="24"/>
          <w:szCs w:val="24"/>
        </w:rPr>
        <w:t>搅拌装置包括：电动机、减速机、联轴器、搅拌轴、搅拌器、机架、过渡板及相关连接件。搅拌 装置成套供货</w:t>
      </w:r>
      <w:r>
        <w:rPr>
          <w:rFonts w:hint="eastAsia" w:ascii="宋体" w:hAnsi="宋体" w:eastAsia="宋体" w:cs="宋体"/>
          <w:spacing w:val="1"/>
          <w:sz w:val="24"/>
          <w:szCs w:val="24"/>
          <w:lang w:eastAsia="zh-CN"/>
        </w:rPr>
        <w:t>）</w:t>
      </w:r>
    </w:p>
    <w:p>
      <w:pPr>
        <w:pStyle w:val="7"/>
        <w:spacing w:before="100" w:line="277" w:lineRule="auto"/>
        <w:ind w:left="115" w:firstLine="489"/>
        <w:rPr>
          <w:rFonts w:hint="eastAsia" w:ascii="宋体" w:hAnsi="宋体" w:eastAsia="宋体" w:cs="宋体"/>
          <w:spacing w:val="-5"/>
          <w:sz w:val="24"/>
          <w:szCs w:val="24"/>
        </w:rPr>
      </w:pPr>
      <w:r>
        <w:rPr>
          <w:rFonts w:hint="eastAsia" w:ascii="宋体" w:hAnsi="宋体" w:eastAsia="宋体" w:cs="宋体"/>
          <w:spacing w:val="-5"/>
          <w:sz w:val="24"/>
          <w:szCs w:val="24"/>
        </w:rPr>
        <w:t>(1)供货方应按招标方提供的招标图和技术参数做出搅拌装置的方案，应具有合适的搅拌强度，须保证能承受操作状态的各种载荷。</w:t>
      </w:r>
    </w:p>
    <w:p>
      <w:pPr>
        <w:pStyle w:val="7"/>
        <w:spacing w:before="136" w:line="216" w:lineRule="auto"/>
        <w:ind w:left="605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pacing w:val="2"/>
          <w:sz w:val="24"/>
          <w:szCs w:val="24"/>
        </w:rPr>
        <w:t>(2)传动装置：电动机建议选用国内知名品牌</w:t>
      </w:r>
    </w:p>
    <w:p>
      <w:pPr>
        <w:pStyle w:val="7"/>
        <w:spacing w:before="103" w:line="216" w:lineRule="auto"/>
        <w:ind w:left="2094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pacing w:val="2"/>
          <w:sz w:val="24"/>
          <w:szCs w:val="24"/>
        </w:rPr>
        <w:t>电机保护等级不低于</w:t>
      </w:r>
      <w:r>
        <w:rPr>
          <w:rFonts w:hint="eastAsia" w:ascii="宋体" w:hAnsi="宋体" w:eastAsia="宋体" w:cs="宋体"/>
          <w:sz w:val="24"/>
          <w:szCs w:val="24"/>
        </w:rPr>
        <w:t>IP</w:t>
      </w:r>
      <w:r>
        <w:rPr>
          <w:rFonts w:hint="eastAsia" w:ascii="宋体" w:hAnsi="宋体" w:eastAsia="宋体" w:cs="宋体"/>
          <w:spacing w:val="2"/>
          <w:sz w:val="24"/>
          <w:szCs w:val="24"/>
        </w:rPr>
        <w:t>55,绝缘等级F;</w:t>
      </w:r>
    </w:p>
    <w:p>
      <w:pPr>
        <w:pStyle w:val="7"/>
        <w:spacing w:before="124" w:line="219" w:lineRule="auto"/>
        <w:ind w:left="2084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pacing w:val="2"/>
          <w:sz w:val="24"/>
          <w:szCs w:val="24"/>
        </w:rPr>
        <w:t>减速机建议选用</w:t>
      </w:r>
      <w:r>
        <w:rPr>
          <w:rFonts w:hint="eastAsia" w:ascii="宋体" w:hAnsi="宋体" w:eastAsia="宋体" w:cs="宋体"/>
          <w:sz w:val="24"/>
          <w:szCs w:val="24"/>
        </w:rPr>
        <w:t>SEW</w:t>
      </w:r>
      <w:r>
        <w:rPr>
          <w:rFonts w:hint="eastAsia" w:ascii="宋体" w:hAnsi="宋体" w:eastAsia="宋体" w:cs="宋体"/>
          <w:spacing w:val="2"/>
          <w:sz w:val="24"/>
          <w:szCs w:val="24"/>
        </w:rPr>
        <w:t>或弗兰德品牌</w:t>
      </w:r>
      <w:r>
        <w:rPr>
          <w:rFonts w:hint="eastAsia" w:ascii="宋体" w:hAnsi="宋体" w:eastAsia="宋体" w:cs="宋体"/>
          <w:spacing w:val="2"/>
          <w:sz w:val="24"/>
          <w:szCs w:val="24"/>
          <w:lang w:val="en-US" w:eastAsia="zh-CN"/>
        </w:rPr>
        <w:t>或同等质量</w:t>
      </w:r>
    </w:p>
    <w:p>
      <w:pPr>
        <w:pStyle w:val="7"/>
        <w:spacing w:before="129" w:line="219" w:lineRule="auto"/>
        <w:ind w:left="605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(3)搅拌轴：可采用实心轴，结构由供货商确</w:t>
      </w:r>
      <w:r>
        <w:rPr>
          <w:rFonts w:hint="eastAsia" w:ascii="宋体" w:hAnsi="宋体" w:eastAsia="宋体" w:cs="宋体"/>
          <w:spacing w:val="-1"/>
          <w:sz w:val="24"/>
          <w:szCs w:val="24"/>
        </w:rPr>
        <w:t>定。</w:t>
      </w:r>
    </w:p>
    <w:p>
      <w:pPr>
        <w:pStyle w:val="7"/>
        <w:spacing w:before="129" w:line="219" w:lineRule="auto"/>
        <w:ind w:left="605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(4)搅拌器：搅拌器叶片与轮毂要求采用可拆卸结构，便于维修和更换。</w:t>
      </w:r>
    </w:p>
    <w:p>
      <w:pPr>
        <w:pStyle w:val="7"/>
        <w:spacing w:before="97" w:line="267" w:lineRule="auto"/>
        <w:ind w:left="85" w:firstLine="529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pacing w:val="-3"/>
          <w:sz w:val="24"/>
          <w:szCs w:val="24"/>
        </w:rPr>
        <w:t>(5)与矿浆接触的搅拌装置材料建议选用不锈钢321</w:t>
      </w:r>
      <w:r>
        <w:rPr>
          <w:rFonts w:hint="eastAsia" w:ascii="宋体" w:hAnsi="宋体" w:eastAsia="宋体" w:cs="宋体"/>
          <w:spacing w:val="-3"/>
          <w:sz w:val="24"/>
          <w:szCs w:val="24"/>
          <w:lang w:eastAsia="zh-CN"/>
        </w:rPr>
        <w:t>。</w:t>
      </w:r>
    </w:p>
    <w:p>
      <w:pPr>
        <w:pStyle w:val="7"/>
        <w:spacing w:before="136" w:line="219" w:lineRule="auto"/>
        <w:ind w:left="605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(6)搅拌轴的直线度偏差不能超过1mm/m。</w:t>
      </w:r>
    </w:p>
    <w:p>
      <w:pPr>
        <w:pStyle w:val="7"/>
        <w:spacing w:before="126" w:line="266" w:lineRule="auto"/>
        <w:ind w:left="115" w:firstLine="496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(7)搅拌轴和搅拌器须进行组装后的静平衡试验。如果搅拌装置的速度等于或大于300r/</w:t>
      </w:r>
      <w:r>
        <w:rPr>
          <w:rFonts w:hint="eastAsia" w:ascii="宋体" w:hAnsi="宋体" w:eastAsia="宋体" w:cs="宋体"/>
          <w:spacing w:val="-1"/>
          <w:sz w:val="24"/>
          <w:szCs w:val="24"/>
        </w:rPr>
        <w:t>min,</w:t>
      </w:r>
      <w:r>
        <w:rPr>
          <w:rFonts w:hint="eastAsia" w:ascii="宋体" w:hAnsi="宋体" w:eastAsia="宋体" w:cs="宋体"/>
          <w:sz w:val="24"/>
          <w:szCs w:val="24"/>
        </w:rPr>
        <w:t xml:space="preserve"> </w:t>
      </w:r>
      <w:r>
        <w:rPr>
          <w:rFonts w:hint="eastAsia" w:ascii="宋体" w:hAnsi="宋体" w:eastAsia="宋体" w:cs="宋体"/>
          <w:spacing w:val="-2"/>
          <w:sz w:val="24"/>
          <w:szCs w:val="24"/>
        </w:rPr>
        <w:t>搅拌器、搅拌轴须进行组装后的动平衡试验。</w:t>
      </w:r>
    </w:p>
    <w:p>
      <w:pPr>
        <w:pStyle w:val="7"/>
        <w:spacing w:before="110" w:line="278" w:lineRule="auto"/>
        <w:ind w:left="105" w:firstLine="503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pacing w:val="-2"/>
          <w:sz w:val="24"/>
          <w:szCs w:val="24"/>
        </w:rPr>
        <w:t>(8)搅拌装置出厂前试验要求：手动盘车搅拌</w:t>
      </w:r>
      <w:r>
        <w:rPr>
          <w:rFonts w:hint="eastAsia" w:ascii="宋体" w:hAnsi="宋体" w:eastAsia="宋体" w:cs="宋体"/>
          <w:spacing w:val="-3"/>
          <w:sz w:val="24"/>
          <w:szCs w:val="24"/>
        </w:rPr>
        <w:t>轴自由端部径向摆动量不大于搅拌轴长的0.8%。</w:t>
      </w:r>
      <w:r>
        <w:rPr>
          <w:rFonts w:hint="eastAsia" w:ascii="宋体" w:hAnsi="宋体" w:eastAsia="宋体" w:cs="宋体"/>
          <w:spacing w:val="-2"/>
          <w:sz w:val="24"/>
          <w:szCs w:val="24"/>
        </w:rPr>
        <w:t>且不大于3mm。</w:t>
      </w:r>
    </w:p>
    <w:p>
      <w:pPr>
        <w:pStyle w:val="7"/>
        <w:spacing w:before="108" w:line="273" w:lineRule="auto"/>
        <w:ind w:left="115" w:firstLine="504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pacing w:val="-5"/>
          <w:sz w:val="24"/>
          <w:szCs w:val="24"/>
        </w:rPr>
        <w:t>(9)搅拌装置出厂前要求以水代料进行试运转。运转时间</w:t>
      </w:r>
      <w:r>
        <w:rPr>
          <w:rFonts w:hint="eastAsia" w:ascii="宋体" w:hAnsi="宋体" w:eastAsia="宋体" w:cs="宋体"/>
          <w:spacing w:val="-6"/>
          <w:sz w:val="24"/>
          <w:szCs w:val="24"/>
        </w:rPr>
        <w:t>不少于4小时，试验设备应运转平稳，</w:t>
      </w:r>
      <w:r>
        <w:rPr>
          <w:rFonts w:hint="eastAsia" w:ascii="宋体" w:hAnsi="宋体" w:eastAsia="宋体" w:cs="宋体"/>
          <w:spacing w:val="-3"/>
          <w:sz w:val="24"/>
          <w:szCs w:val="24"/>
        </w:rPr>
        <w:t>不得有不正常的噪音和振动。</w:t>
      </w:r>
    </w:p>
    <w:p>
      <w:pPr>
        <w:pStyle w:val="7"/>
        <w:spacing w:before="128" w:line="219" w:lineRule="auto"/>
        <w:ind w:left="605"/>
        <w:rPr>
          <w:rFonts w:hint="eastAsia" w:ascii="宋体" w:hAnsi="宋体" w:eastAsia="宋体" w:cs="宋体"/>
          <w:spacing w:val="2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pacing w:val="2"/>
          <w:sz w:val="24"/>
          <w:szCs w:val="24"/>
        </w:rPr>
        <w:t>(10)机械部分应保证每年330天、每天24小时，无故障、安全可靠地连</w:t>
      </w:r>
      <w:r>
        <w:rPr>
          <w:rFonts w:hint="eastAsia" w:ascii="宋体" w:hAnsi="宋体" w:eastAsia="宋体" w:cs="宋体"/>
          <w:spacing w:val="2"/>
          <w:sz w:val="24"/>
          <w:szCs w:val="24"/>
          <w:lang w:eastAsia="zh-CN"/>
        </w:rPr>
        <w:t>、</w:t>
      </w:r>
    </w:p>
    <w:p>
      <w:pPr>
        <w:pStyle w:val="7"/>
        <w:spacing w:before="128" w:line="219" w:lineRule="auto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pacing w:val="2"/>
          <w:sz w:val="24"/>
          <w:szCs w:val="24"/>
        </w:rPr>
        <w:t>续运行</w:t>
      </w:r>
      <w:r>
        <w:rPr>
          <w:rFonts w:hint="eastAsia" w:ascii="宋体" w:hAnsi="宋体" w:eastAsia="宋体" w:cs="宋体"/>
          <w:spacing w:val="2"/>
          <w:sz w:val="24"/>
          <w:szCs w:val="24"/>
          <w:lang w:eastAsia="zh-CN"/>
        </w:rPr>
        <w:t>。</w:t>
      </w:r>
    </w:p>
    <w:p>
      <w:pPr>
        <w:pStyle w:val="7"/>
        <w:spacing w:before="100" w:line="219" w:lineRule="auto"/>
        <w:ind w:left="605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(11)设计使用年限至少20年。</w:t>
      </w:r>
    </w:p>
    <w:p>
      <w:pPr>
        <w:pStyle w:val="7"/>
        <w:spacing w:before="119" w:line="219" w:lineRule="auto"/>
        <w:ind w:left="605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(12)搅拌装置的系统设计应保证在合理的范围内，不允许产生共振和大的</w:t>
      </w:r>
    </w:p>
    <w:p>
      <w:pPr>
        <w:pStyle w:val="7"/>
        <w:spacing w:before="119" w:line="219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振</w:t>
      </w:r>
      <w:r>
        <w:rPr>
          <w:rFonts w:hint="eastAsia" w:ascii="宋体" w:hAnsi="宋体" w:eastAsia="宋体" w:cs="宋体"/>
          <w:spacing w:val="-1"/>
          <w:sz w:val="24"/>
          <w:szCs w:val="24"/>
        </w:rPr>
        <w:t>动。</w:t>
      </w:r>
    </w:p>
    <w:p>
      <w:pPr>
        <w:pStyle w:val="7"/>
        <w:spacing w:before="99" w:line="285" w:lineRule="auto"/>
        <w:ind w:left="115" w:firstLine="484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(13)噪音应遵循GB/T 50087-2013《工业企业噪声控制设计规范》标准或API Std 615标准；</w:t>
      </w:r>
      <w:r>
        <w:rPr>
          <w:rFonts w:hint="eastAsia" w:ascii="宋体" w:hAnsi="宋体" w:eastAsia="宋体" w:cs="宋体"/>
          <w:spacing w:val="8"/>
          <w:sz w:val="24"/>
          <w:szCs w:val="24"/>
        </w:rPr>
        <w:t xml:space="preserve"> </w:t>
      </w:r>
      <w:r>
        <w:rPr>
          <w:rFonts w:hint="eastAsia" w:ascii="宋体" w:hAnsi="宋体" w:eastAsia="宋体" w:cs="宋体"/>
          <w:spacing w:val="-1"/>
          <w:sz w:val="24"/>
          <w:szCs w:val="24"/>
        </w:rPr>
        <w:t>机器上方1.5米或周围1米测量出的噪音级</w:t>
      </w:r>
      <w:r>
        <w:rPr>
          <w:rFonts w:hint="eastAsia" w:ascii="宋体" w:hAnsi="宋体" w:eastAsia="宋体" w:cs="宋体"/>
          <w:spacing w:val="-2"/>
          <w:sz w:val="24"/>
          <w:szCs w:val="24"/>
        </w:rPr>
        <w:t>别应不大于85分贝</w:t>
      </w:r>
      <w:r>
        <w:rPr>
          <w:rFonts w:hint="eastAsia" w:ascii="宋体" w:hAnsi="宋体" w:eastAsia="宋体" w:cs="宋体"/>
          <w:spacing w:val="-2"/>
          <w:sz w:val="24"/>
          <w:szCs w:val="24"/>
          <w:lang w:eastAsia="zh-CN"/>
        </w:rPr>
        <w:t>。</w:t>
      </w:r>
    </w:p>
    <w:p>
      <w:pPr>
        <w:pStyle w:val="7"/>
        <w:spacing w:before="99" w:line="219" w:lineRule="auto"/>
        <w:ind w:left="605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(14)供货商认为必须配置的其它就地和远程显示信</w:t>
      </w:r>
      <w:r>
        <w:rPr>
          <w:rFonts w:hint="eastAsia" w:ascii="宋体" w:hAnsi="宋体" w:eastAsia="宋体" w:cs="宋体"/>
          <w:spacing w:val="-1"/>
          <w:sz w:val="24"/>
          <w:szCs w:val="24"/>
        </w:rPr>
        <w:t>号。</w:t>
      </w:r>
    </w:p>
    <w:p>
      <w:pPr>
        <w:pStyle w:val="7"/>
        <w:spacing w:before="121" w:line="219" w:lineRule="auto"/>
        <w:ind w:left="125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3.3配套及备品备件、易损件要求：</w:t>
      </w:r>
    </w:p>
    <w:p>
      <w:pPr>
        <w:spacing w:line="360" w:lineRule="auto"/>
        <w:ind w:firstLine="484" w:firstLineChars="200"/>
        <w:rPr>
          <w:rFonts w:hint="eastAsia" w:ascii="宋体" w:hAnsi="宋体" w:eastAsia="宋体" w:cs="宋体"/>
          <w:spacing w:val="1"/>
          <w:sz w:val="24"/>
          <w:szCs w:val="24"/>
        </w:rPr>
      </w:pPr>
      <w:r>
        <w:rPr>
          <w:rFonts w:hint="eastAsia" w:ascii="宋体" w:hAnsi="宋体" w:eastAsia="宋体" w:cs="宋体"/>
          <w:spacing w:val="1"/>
          <w:sz w:val="24"/>
          <w:szCs w:val="24"/>
        </w:rPr>
        <w:t>供货商应提供必要的备品备件及备品备件清单(清单中应包括备品备件价格)</w:t>
      </w:r>
    </w:p>
    <w:p>
      <w:pPr>
        <w:spacing w:line="360" w:lineRule="auto"/>
        <w:ind w:firstLine="484" w:firstLineChars="200"/>
        <w:rPr>
          <w:rFonts w:hint="default" w:ascii="宋体" w:hAnsi="宋体" w:eastAsia="宋体" w:cs="宋体"/>
          <w:color w:val="FF0000"/>
          <w:spacing w:val="1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color w:val="FF0000"/>
          <w:spacing w:val="1"/>
          <w:sz w:val="24"/>
          <w:szCs w:val="24"/>
          <w:lang w:val="en-US" w:eastAsia="zh-CN"/>
        </w:rPr>
        <w:t>以上管口条件、支撑高度等最终以设计院确认施工图为准。</w:t>
      </w:r>
    </w:p>
    <w:p>
      <w:pPr>
        <w:numPr>
          <w:ilvl w:val="0"/>
          <w:numId w:val="2"/>
        </w:numPr>
        <w:spacing w:line="360" w:lineRule="auto"/>
        <w:ind w:left="0" w:leftChars="0" w:firstLine="0" w:firstLineChars="0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项目要求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资质要求：营业执照应含有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设备及生产制造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相关项。等服务相关项。   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业绩要求：相关物资的采购协议或合同等。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税率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及价格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：所有含税价格均为含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13 % 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增值税专用发票价格。含税价格包含到河南省三门峡市产业集聚区209国道南侧河南中原黄金冶炼厂有限责任公司内指定地点的运输、装卸等费用。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质保期：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该物资必须满足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河南中原黄金冶炼厂有限责任公司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实际生产要求，若因货物质量问题造成的直接或间接损失，所有退货或索赔引起的一切费用及损失均由送货单位承担。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5.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付款方式：</w:t>
      </w:r>
      <w:r>
        <w:rPr>
          <w:rFonts w:ascii="仿宋" w:hAnsi="仿宋" w:eastAsia="仿宋" w:cs="仿宋"/>
          <w:sz w:val="28"/>
          <w:szCs w:val="28"/>
        </w:rPr>
        <w:t>合同签订后预付合同总额30%，货到现场验收合格后支付合同总额60%。同时开具全额13%增值税专用发票，剩余合同总价的10%作为质量保证金，质量保证金在设备安装完成验收合格证书签署之日起连续正常运转12个月无质量问题或设备到厂18个月</w:t>
      </w:r>
      <w:bookmarkStart w:id="0" w:name="_GoBack"/>
      <w:bookmarkEnd w:id="0"/>
    </w:p>
    <w:p>
      <w:pPr>
        <w:snapToGrid w:val="0"/>
        <w:spacing w:after="100" w:line="520" w:lineRule="exact"/>
        <w:rPr>
          <w:rFonts w:hint="default" w:ascii="仿宋" w:hAnsi="仿宋" w:eastAsia="仿宋" w:cs="仿宋"/>
          <w:sz w:val="28"/>
          <w:szCs w:val="28"/>
          <w:lang w:val="en-US" w:eastAsia="zh-CN"/>
        </w:rPr>
      </w:pPr>
    </w:p>
    <w:p>
      <w:pPr>
        <w:numPr>
          <w:ilvl w:val="0"/>
          <w:numId w:val="0"/>
        </w:numPr>
        <w:spacing w:line="360" w:lineRule="auto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6.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到货周期：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预计2025年8月，具体到货接买方通知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。</w:t>
      </w:r>
    </w:p>
    <w:p>
      <w:pPr>
        <w:numPr>
          <w:ilvl w:val="0"/>
          <w:numId w:val="0"/>
        </w:numPr>
        <w:spacing w:line="360" w:lineRule="auto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7.、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要求厂家提供的资料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：</w:t>
      </w:r>
    </w:p>
    <w:p>
      <w:pPr>
        <w:numPr>
          <w:ilvl w:val="0"/>
          <w:numId w:val="0"/>
        </w:numPr>
        <w:spacing w:line="360" w:lineRule="auto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1）土建由买方负责，投标方负责向招标方提供准确的设备基础条件图及工艺平面布置图。</w:t>
      </w:r>
    </w:p>
    <w:p>
      <w:pPr>
        <w:numPr>
          <w:ilvl w:val="0"/>
          <w:numId w:val="0"/>
        </w:numPr>
        <w:spacing w:line="360" w:lineRule="auto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8.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谈判当天未在规定时间内按要求发送报价的，视为弃权。</w:t>
      </w:r>
    </w:p>
    <w:p>
      <w:pPr>
        <w:numPr>
          <w:ilvl w:val="0"/>
          <w:numId w:val="0"/>
        </w:numPr>
        <w:spacing w:line="360" w:lineRule="auto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9.谈判项目报名单位在“中国执行信息公开网”查询中属失信被执行人的，视为无履约能力，不得报名参加，已报名的视为无效报名。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  <w:rPr>
          <w:rFonts w:hint="eastAsia" w:eastAsia="仿宋"/>
          <w:lang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10.</w:t>
      </w:r>
      <w:r>
        <w:rPr>
          <w:rFonts w:ascii="仿宋" w:hAnsi="仿宋" w:eastAsia="仿宋" w:cs="仿宋"/>
          <w:color w:val="000000"/>
          <w:sz w:val="28"/>
          <w:szCs w:val="28"/>
        </w:rPr>
        <w:t>若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谈判单位采取低于成本价的报价方式，评委将有权否决其谈判资格</w:t>
      </w:r>
      <w:r>
        <w:rPr>
          <w:rFonts w:hint="eastAsia" w:ascii="仿宋" w:hAnsi="仿宋" w:eastAsia="仿宋" w:cs="仿宋"/>
          <w:color w:val="000000"/>
          <w:sz w:val="28"/>
          <w:szCs w:val="28"/>
          <w:lang w:eastAsia="zh-CN"/>
        </w:rPr>
        <w:t>。</w:t>
      </w: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ind w:firstLine="366" w:firstLineChars="0"/>
        <w:jc w:val="left"/>
        <w:rPr>
          <w:rFonts w:hint="default"/>
          <w:lang w:val="en-US" w:eastAsia="zh-CN"/>
        </w:rPr>
      </w:pPr>
    </w:p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FCF0253"/>
    <w:multiLevelType w:val="singleLevel"/>
    <w:tmpl w:val="DFCF0253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47278D17"/>
    <w:multiLevelType w:val="singleLevel"/>
    <w:tmpl w:val="47278D17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5F1BCE1D"/>
    <w:multiLevelType w:val="singleLevel"/>
    <w:tmpl w:val="5F1BCE1D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C5F4692"/>
    <w:rsid w:val="04F0022B"/>
    <w:rsid w:val="0DEB6780"/>
    <w:rsid w:val="21C91E9B"/>
    <w:rsid w:val="2C5F4692"/>
    <w:rsid w:val="475331E4"/>
    <w:rsid w:val="5BEC1E89"/>
    <w:rsid w:val="638E7A78"/>
    <w:rsid w:val="67752E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qFormat/>
    <w:uiPriority w:val="0"/>
    <w:pPr>
      <w:keepNext/>
      <w:outlineLvl w:val="2"/>
    </w:pPr>
    <w:rPr>
      <w:sz w:val="28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7">
    <w:name w:val="Table Text"/>
    <w:basedOn w:val="1"/>
    <w:semiHidden/>
    <w:qFormat/>
    <w:uiPriority w:val="0"/>
    <w:rPr>
      <w:rFonts w:ascii="华文仿宋" w:hAnsi="华文仿宋" w:eastAsia="华文仿宋" w:cs="华文仿宋"/>
      <w:sz w:val="21"/>
      <w:szCs w:val="21"/>
      <w:lang w:val="en-US" w:eastAsia="en-US" w:bidi="ar-SA"/>
    </w:rPr>
  </w:style>
  <w:style w:type="table" w:customStyle="1" w:styleId="8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2037</Words>
  <Characters>2370</Characters>
  <Lines>0</Lines>
  <Paragraphs>0</Paragraphs>
  <TotalTime>55</TotalTime>
  <ScaleCrop>false</ScaleCrop>
  <LinksUpToDate>false</LinksUpToDate>
  <CharactersWithSpaces>2401</CharactersWithSpaces>
  <Application>WPS Office_11.8.2.12187_F1E327BC-269C-435d-A152-05C5408002CA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2025-02-12T01:19:00Z</dcterms:created>
  <dc:creator>秦小木</dc:creator>
  <cp:lastModifiedBy>董航</cp:lastModifiedBy>
  <cp:lastPrinted>2025-02-12T02:13:00Z</cp:lastPrinted>
  <dcterms:modified xsi:type="dcterms:W3CDTF">2025-06-11T02:17:35Z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2052-11.8.2.12187</vt:lpwstr>
  </property>
  <property fmtid="{D5CDD505-2E9C-101B-9397-08002B2CF9AE}" pid="3" name="ICV">
    <vt:lpwstr>237415293BAB4FCBBDF99848AD042D4E_11</vt:lpwstr>
  </property>
  <property fmtid="{D5CDD505-2E9C-101B-9397-08002B2CF9AE}" pid="4" name="KSOTemplateDocerSaveRecord">
    <vt:lpwstr>eyJoZGlkIjoiMzM4MDMzOTRhZDk0NDMyM2E0MzczYWUzMzE5YjVkZmEiLCJ1c2VySWQiOiIyNzM0NTI0MzEifQ==</vt:lpwstr>
  </property>
</Properties>
</file>