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DD92D1">
      <w:pPr>
        <w:spacing w:before="133" w:line="225" w:lineRule="auto"/>
        <w:ind w:left="3053"/>
        <w:outlineLvl w:val="0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spacing w:val="11"/>
          <w:sz w:val="42"/>
          <w:szCs w:val="42"/>
        </w:rPr>
        <w:t>谈判项目要求</w:t>
      </w:r>
    </w:p>
    <w:p w14:paraId="6CF3C3F8">
      <w:pPr>
        <w:pStyle w:val="2"/>
        <w:spacing w:before="236" w:line="223" w:lineRule="auto"/>
        <w:ind w:left="226"/>
      </w:pPr>
      <w:r>
        <w:rPr>
          <w:spacing w:val="-7"/>
        </w:rPr>
        <w:t>一、项目概况</w:t>
      </w:r>
    </w:p>
    <w:p w14:paraId="5BC8C560">
      <w:pPr>
        <w:spacing w:line="254" w:lineRule="auto"/>
        <w:rPr>
          <w:rFonts w:ascii="Arial"/>
          <w:sz w:val="21"/>
        </w:rPr>
      </w:pPr>
    </w:p>
    <w:p w14:paraId="12391B58">
      <w:pPr>
        <w:pStyle w:val="2"/>
        <w:spacing w:before="91" w:line="264" w:lineRule="auto"/>
        <w:ind w:left="229" w:right="551" w:firstLine="542" w:firstLineChars="201"/>
      </w:pPr>
      <w:r>
        <w:rPr>
          <w:spacing w:val="-5"/>
        </w:rPr>
        <w:t>河南中原黄金冶炼厂有限责任公司</w:t>
      </w:r>
      <w:r>
        <w:rPr>
          <w:rFonts w:hint="eastAsia"/>
          <w:spacing w:val="-5"/>
          <w:lang w:val="en-US" w:eastAsia="zh-CN"/>
        </w:rPr>
        <w:t>对班车站台顶棚维修</w:t>
      </w:r>
      <w:r>
        <w:rPr>
          <w:spacing w:val="-4"/>
        </w:rPr>
        <w:t>项目</w:t>
      </w:r>
      <w:r>
        <w:rPr>
          <w:rFonts w:hint="eastAsia"/>
          <w:spacing w:val="-4"/>
          <w:lang w:eastAsia="zh-CN"/>
        </w:rPr>
        <w:t>，</w:t>
      </w:r>
      <w:r>
        <w:rPr>
          <w:spacing w:val="-4"/>
        </w:rPr>
        <w:t>公开公示，请有参与意向的供应商提交报名表和相关资质文件。</w:t>
      </w:r>
    </w:p>
    <w:p w14:paraId="22C8A834">
      <w:pPr>
        <w:pStyle w:val="3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before="0" w:beforeAutospacing="0" w:afterAutospacing="0"/>
        <w:ind w:left="0" w:leftChars="0" w:right="0" w:firstLine="708" w:firstLineChars="300"/>
        <w:textAlignment w:val="baseline"/>
      </w:pPr>
      <w:r>
        <w:rPr>
          <w:spacing w:val="-2"/>
        </w:rPr>
        <w:t>1.谈判项目编号：</w:t>
      </w: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u w:val="single"/>
          <w:lang w:val="en-US" w:eastAsia="en-US" w:bidi="ar-SA"/>
        </w:rPr>
        <w:t>YGCG2025138</w:t>
      </w:r>
      <w:r>
        <w:rPr>
          <w:u w:val="single"/>
        </w:rPr>
        <w:t xml:space="preserve"> </w:t>
      </w:r>
      <w:r>
        <w:rPr>
          <w:spacing w:val="-2"/>
          <w:u w:val="single"/>
        </w:rPr>
        <w:t>。</w:t>
      </w:r>
    </w:p>
    <w:p w14:paraId="514D6A8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240" w:lineRule="auto"/>
        <w:ind w:right="0" w:firstLine="834" w:firstLineChars="300"/>
        <w:textAlignment w:val="baseline"/>
      </w:pPr>
      <w:r>
        <w:rPr>
          <w:spacing w:val="-1"/>
        </w:rPr>
        <w:t>2.项目名称：</w:t>
      </w:r>
      <w:r>
        <w:rPr>
          <w:rFonts w:hint="eastAsia"/>
          <w:spacing w:val="-1"/>
          <w:u w:val="single" w:color="auto"/>
          <w:lang w:val="en-US" w:eastAsia="zh-CN"/>
        </w:rPr>
        <w:t>公司班车站点顶棚维修</w:t>
      </w:r>
      <w:r>
        <w:rPr>
          <w:spacing w:val="-3"/>
          <w:u w:val="single" w:color="auto"/>
        </w:rPr>
        <w:t>。</w:t>
      </w:r>
      <w:r>
        <w:rPr>
          <w:spacing w:val="2"/>
          <w:u w:val="single" w:color="auto"/>
        </w:rPr>
        <w:t xml:space="preserve">  </w:t>
      </w:r>
    </w:p>
    <w:p w14:paraId="31C9791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240" w:lineRule="auto"/>
        <w:ind w:right="0" w:firstLine="834" w:firstLineChars="300"/>
        <w:textAlignment w:val="baseline"/>
      </w:pPr>
      <w:r>
        <w:rPr>
          <w:spacing w:val="-1"/>
        </w:rPr>
        <w:t>3.业务管理部门:</w:t>
      </w:r>
      <w:r>
        <w:rPr>
          <w:spacing w:val="-1"/>
          <w:u w:val="single" w:color="auto"/>
        </w:rPr>
        <w:t>党群工作部</w:t>
      </w:r>
      <w:r>
        <w:rPr>
          <w:spacing w:val="-1"/>
        </w:rPr>
        <w:t>。</w:t>
      </w:r>
    </w:p>
    <w:p w14:paraId="16EFC1DF">
      <w:pPr>
        <w:pStyle w:val="2"/>
        <w:spacing w:before="111" w:line="223" w:lineRule="auto"/>
        <w:ind w:left="235"/>
      </w:pPr>
      <w:r>
        <w:rPr>
          <w:spacing w:val="-8"/>
        </w:rPr>
        <w:t>二、项目内容</w:t>
      </w:r>
    </w:p>
    <w:p w14:paraId="433424C9">
      <w:pPr>
        <w:pStyle w:val="2"/>
        <w:spacing w:before="154" w:line="223" w:lineRule="auto"/>
        <w:ind w:left="2983"/>
        <w:outlineLvl w:val="1"/>
      </w:pPr>
      <w:r>
        <w:rPr>
          <w:rFonts w:hint="eastAsia"/>
          <w:b/>
          <w:bCs/>
          <w:spacing w:val="-14"/>
          <w:lang w:val="en-US" w:eastAsia="zh-CN"/>
        </w:rPr>
        <w:t>班车站点维修</w:t>
      </w:r>
      <w:r>
        <w:rPr>
          <w:b/>
          <w:bCs/>
          <w:spacing w:val="-14"/>
        </w:rPr>
        <w:t>细表</w:t>
      </w:r>
    </w:p>
    <w:p w14:paraId="33EF61FF">
      <w:pPr>
        <w:spacing w:before="116"/>
      </w:pPr>
    </w:p>
    <w:tbl>
      <w:tblPr>
        <w:tblStyle w:val="6"/>
        <w:tblW w:w="903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9"/>
        <w:gridCol w:w="1465"/>
        <w:gridCol w:w="1051"/>
        <w:gridCol w:w="1571"/>
        <w:gridCol w:w="1040"/>
        <w:gridCol w:w="1689"/>
        <w:gridCol w:w="1534"/>
      </w:tblGrid>
      <w:tr w14:paraId="7874CA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689" w:type="dxa"/>
            <w:textDirection w:val="tbRlV"/>
            <w:vAlign w:val="top"/>
          </w:tcPr>
          <w:p w14:paraId="322EA462">
            <w:pPr>
              <w:pStyle w:val="7"/>
              <w:spacing w:before="221" w:line="210" w:lineRule="auto"/>
              <w:ind w:left="183"/>
            </w:pPr>
            <w:r>
              <w:rPr>
                <w:spacing w:val="35"/>
              </w:rPr>
              <w:t>序号</w:t>
            </w:r>
          </w:p>
        </w:tc>
        <w:tc>
          <w:tcPr>
            <w:tcW w:w="1465" w:type="dxa"/>
            <w:vAlign w:val="top"/>
          </w:tcPr>
          <w:p w14:paraId="019CECCD">
            <w:pPr>
              <w:spacing w:line="260" w:lineRule="auto"/>
              <w:rPr>
                <w:rFonts w:ascii="Arial"/>
                <w:sz w:val="21"/>
              </w:rPr>
            </w:pPr>
          </w:p>
          <w:p w14:paraId="216DE096">
            <w:pPr>
              <w:pStyle w:val="7"/>
              <w:spacing w:before="78" w:line="219" w:lineRule="auto"/>
              <w:ind w:left="218"/>
            </w:pPr>
            <w:r>
              <w:rPr>
                <w:spacing w:val="-27"/>
              </w:rPr>
              <w:t>项</w:t>
            </w:r>
            <w:r>
              <w:rPr>
                <w:spacing w:val="27"/>
              </w:rPr>
              <w:t xml:space="preserve">  </w:t>
            </w:r>
            <w:r>
              <w:rPr>
                <w:spacing w:val="-27"/>
              </w:rPr>
              <w:t>目</w:t>
            </w:r>
            <w:r>
              <w:rPr>
                <w:spacing w:val="19"/>
              </w:rPr>
              <w:t xml:space="preserve">  </w:t>
            </w:r>
            <w:r>
              <w:rPr>
                <w:spacing w:val="-27"/>
              </w:rPr>
              <w:t>内</w:t>
            </w:r>
            <w:r>
              <w:rPr>
                <w:spacing w:val="7"/>
              </w:rPr>
              <w:t xml:space="preserve">  </w:t>
            </w:r>
            <w:r>
              <w:rPr>
                <w:spacing w:val="-27"/>
              </w:rPr>
              <w:t>容</w:t>
            </w:r>
          </w:p>
        </w:tc>
        <w:tc>
          <w:tcPr>
            <w:tcW w:w="1051" w:type="dxa"/>
            <w:vAlign w:val="top"/>
          </w:tcPr>
          <w:p w14:paraId="4A47ED72">
            <w:pPr>
              <w:spacing w:line="260" w:lineRule="auto"/>
              <w:rPr>
                <w:rFonts w:ascii="Arial"/>
                <w:sz w:val="21"/>
              </w:rPr>
            </w:pPr>
          </w:p>
          <w:p w14:paraId="2E69A885">
            <w:pPr>
              <w:pStyle w:val="7"/>
              <w:spacing w:before="78" w:line="220" w:lineRule="auto"/>
              <w:ind w:left="148"/>
            </w:pPr>
            <w:r>
              <w:rPr>
                <w:spacing w:val="-6"/>
              </w:rPr>
              <w:t>单位</w:t>
            </w:r>
          </w:p>
        </w:tc>
        <w:tc>
          <w:tcPr>
            <w:tcW w:w="1571" w:type="dxa"/>
            <w:vAlign w:val="top"/>
          </w:tcPr>
          <w:p w14:paraId="65E76249">
            <w:pPr>
              <w:spacing w:line="260" w:lineRule="auto"/>
              <w:rPr>
                <w:rFonts w:ascii="Arial"/>
                <w:sz w:val="21"/>
              </w:rPr>
            </w:pPr>
          </w:p>
          <w:p w14:paraId="68E359CF">
            <w:pPr>
              <w:pStyle w:val="7"/>
              <w:spacing w:before="78" w:line="219" w:lineRule="auto"/>
              <w:ind w:left="182"/>
            </w:pPr>
            <w:r>
              <w:rPr>
                <w:spacing w:val="-6"/>
              </w:rPr>
              <w:t>数量</w:t>
            </w:r>
          </w:p>
        </w:tc>
        <w:tc>
          <w:tcPr>
            <w:tcW w:w="1040" w:type="dxa"/>
            <w:vAlign w:val="top"/>
          </w:tcPr>
          <w:p w14:paraId="648AEF08">
            <w:pPr>
              <w:pStyle w:val="7"/>
              <w:spacing w:before="183" w:line="218" w:lineRule="auto"/>
              <w:ind w:left="130"/>
            </w:pPr>
            <w:r>
              <w:rPr>
                <w:spacing w:val="-3"/>
              </w:rPr>
              <w:t>不含税单价</w:t>
            </w:r>
          </w:p>
          <w:p w14:paraId="5941E20C">
            <w:pPr>
              <w:pStyle w:val="7"/>
              <w:spacing w:before="29" w:line="219" w:lineRule="auto"/>
              <w:ind w:left="138"/>
            </w:pPr>
            <w:r>
              <w:rPr>
                <w:spacing w:val="-4"/>
              </w:rPr>
              <w:t>（税率1%）</w:t>
            </w:r>
          </w:p>
        </w:tc>
        <w:tc>
          <w:tcPr>
            <w:tcW w:w="1689" w:type="dxa"/>
            <w:vAlign w:val="top"/>
          </w:tcPr>
          <w:p w14:paraId="083A5F99">
            <w:pPr>
              <w:pStyle w:val="7"/>
              <w:spacing w:before="183" w:line="218" w:lineRule="auto"/>
              <w:ind w:left="372"/>
            </w:pPr>
            <w:r>
              <w:rPr>
                <w:spacing w:val="-3"/>
              </w:rPr>
              <w:t>含税单价</w:t>
            </w:r>
          </w:p>
          <w:p w14:paraId="2222DEDD">
            <w:pPr>
              <w:pStyle w:val="7"/>
              <w:spacing w:before="29" w:line="219" w:lineRule="auto"/>
              <w:ind w:left="264"/>
            </w:pPr>
            <w:r>
              <w:rPr>
                <w:spacing w:val="-4"/>
              </w:rPr>
              <w:t>（税率1%）</w:t>
            </w:r>
          </w:p>
        </w:tc>
        <w:tc>
          <w:tcPr>
            <w:tcW w:w="1534" w:type="dxa"/>
            <w:vAlign w:val="top"/>
          </w:tcPr>
          <w:p w14:paraId="1A8FC40B">
            <w:pPr>
              <w:pStyle w:val="7"/>
              <w:spacing w:before="183" w:line="218" w:lineRule="auto"/>
              <w:ind w:left="293"/>
            </w:pPr>
            <w:r>
              <w:rPr>
                <w:spacing w:val="-3"/>
              </w:rPr>
              <w:t>含税总价</w:t>
            </w:r>
          </w:p>
          <w:p w14:paraId="0FC0E49E">
            <w:pPr>
              <w:pStyle w:val="7"/>
              <w:spacing w:before="29" w:line="219" w:lineRule="auto"/>
              <w:ind w:left="185"/>
            </w:pPr>
            <w:r>
              <w:rPr>
                <w:spacing w:val="-4"/>
              </w:rPr>
              <w:t>（税率1%）</w:t>
            </w:r>
          </w:p>
        </w:tc>
      </w:tr>
      <w:tr w14:paraId="0C74B5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689" w:type="dxa"/>
            <w:vAlign w:val="top"/>
          </w:tcPr>
          <w:p w14:paraId="13719E0E">
            <w:pPr>
              <w:pStyle w:val="7"/>
              <w:spacing w:before="190" w:line="241" w:lineRule="auto"/>
              <w:ind w:left="309"/>
            </w:pPr>
            <w:r>
              <w:t>1</w:t>
            </w:r>
          </w:p>
        </w:tc>
        <w:tc>
          <w:tcPr>
            <w:tcW w:w="1465" w:type="dxa"/>
            <w:vAlign w:val="top"/>
          </w:tcPr>
          <w:p w14:paraId="16F8BA1E">
            <w:pPr>
              <w:pStyle w:val="7"/>
              <w:spacing w:before="37" w:line="223" w:lineRule="auto"/>
              <w:ind w:left="130" w:right="309" w:hanging="17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维修主材（蜂窝有机板）</w:t>
            </w:r>
          </w:p>
        </w:tc>
        <w:tc>
          <w:tcPr>
            <w:tcW w:w="1051" w:type="dxa"/>
            <w:vAlign w:val="top"/>
          </w:tcPr>
          <w:p w14:paraId="49DF133D">
            <w:pPr>
              <w:pStyle w:val="7"/>
              <w:spacing w:before="190" w:line="220" w:lineRule="auto"/>
              <w:ind w:left="27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1571" w:type="dxa"/>
            <w:vAlign w:val="top"/>
          </w:tcPr>
          <w:p w14:paraId="26425B01">
            <w:pPr>
              <w:pStyle w:val="7"/>
              <w:spacing w:before="190" w:line="241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15*1.7（米）</w:t>
            </w:r>
          </w:p>
        </w:tc>
        <w:tc>
          <w:tcPr>
            <w:tcW w:w="1040" w:type="dxa"/>
            <w:vAlign w:val="top"/>
          </w:tcPr>
          <w:p w14:paraId="6F4E30FE">
            <w:pPr>
              <w:rPr>
                <w:rFonts w:ascii="Arial"/>
                <w:sz w:val="21"/>
              </w:rPr>
            </w:pPr>
          </w:p>
        </w:tc>
        <w:tc>
          <w:tcPr>
            <w:tcW w:w="1689" w:type="dxa"/>
            <w:vAlign w:val="top"/>
          </w:tcPr>
          <w:p w14:paraId="65DE810C">
            <w:pPr>
              <w:rPr>
                <w:rFonts w:ascii="Arial"/>
                <w:sz w:val="21"/>
              </w:rPr>
            </w:pPr>
          </w:p>
        </w:tc>
        <w:tc>
          <w:tcPr>
            <w:tcW w:w="1534" w:type="dxa"/>
            <w:vAlign w:val="top"/>
          </w:tcPr>
          <w:p w14:paraId="26B49BA0">
            <w:pPr>
              <w:rPr>
                <w:rFonts w:ascii="Arial"/>
                <w:sz w:val="21"/>
              </w:rPr>
            </w:pPr>
          </w:p>
        </w:tc>
      </w:tr>
      <w:tr w14:paraId="161757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689" w:type="dxa"/>
            <w:vAlign w:val="top"/>
          </w:tcPr>
          <w:p w14:paraId="314164EF">
            <w:pPr>
              <w:pStyle w:val="7"/>
              <w:spacing w:before="192" w:line="241" w:lineRule="auto"/>
              <w:ind w:left="294"/>
            </w:pPr>
            <w:r>
              <w:t>2</w:t>
            </w:r>
          </w:p>
        </w:tc>
        <w:tc>
          <w:tcPr>
            <w:tcW w:w="1465" w:type="dxa"/>
            <w:vAlign w:val="top"/>
          </w:tcPr>
          <w:p w14:paraId="06CFE2C8">
            <w:pPr>
              <w:pStyle w:val="7"/>
              <w:spacing w:before="36" w:line="223" w:lineRule="auto"/>
              <w:ind w:left="114" w:right="309" w:firstLine="5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辅料和安装费用</w:t>
            </w:r>
          </w:p>
        </w:tc>
        <w:tc>
          <w:tcPr>
            <w:tcW w:w="1051" w:type="dxa"/>
            <w:vAlign w:val="top"/>
          </w:tcPr>
          <w:p w14:paraId="36DFD452">
            <w:pPr>
              <w:pStyle w:val="7"/>
              <w:spacing w:before="192" w:line="220" w:lineRule="auto"/>
              <w:ind w:left="266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平方米</w:t>
            </w:r>
          </w:p>
        </w:tc>
        <w:tc>
          <w:tcPr>
            <w:tcW w:w="1571" w:type="dxa"/>
            <w:vAlign w:val="top"/>
          </w:tcPr>
          <w:p w14:paraId="7C615282">
            <w:pPr>
              <w:pStyle w:val="7"/>
              <w:spacing w:before="192" w:line="241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15*1.7（米）</w:t>
            </w:r>
          </w:p>
        </w:tc>
        <w:tc>
          <w:tcPr>
            <w:tcW w:w="1040" w:type="dxa"/>
            <w:vAlign w:val="top"/>
          </w:tcPr>
          <w:p w14:paraId="3E046256">
            <w:pPr>
              <w:rPr>
                <w:rFonts w:ascii="Arial"/>
                <w:sz w:val="21"/>
              </w:rPr>
            </w:pPr>
          </w:p>
        </w:tc>
        <w:tc>
          <w:tcPr>
            <w:tcW w:w="1689" w:type="dxa"/>
            <w:vAlign w:val="top"/>
          </w:tcPr>
          <w:p w14:paraId="52121D12">
            <w:pPr>
              <w:rPr>
                <w:rFonts w:ascii="Arial"/>
                <w:sz w:val="21"/>
              </w:rPr>
            </w:pPr>
          </w:p>
        </w:tc>
        <w:tc>
          <w:tcPr>
            <w:tcW w:w="1534" w:type="dxa"/>
            <w:vAlign w:val="top"/>
          </w:tcPr>
          <w:p w14:paraId="343292CB">
            <w:pPr>
              <w:rPr>
                <w:rFonts w:ascii="Arial"/>
                <w:sz w:val="21"/>
              </w:rPr>
            </w:pPr>
          </w:p>
        </w:tc>
      </w:tr>
      <w:tr w14:paraId="72EBD9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89" w:type="dxa"/>
            <w:vAlign w:val="top"/>
          </w:tcPr>
          <w:p w14:paraId="05D44992">
            <w:pPr>
              <w:pStyle w:val="7"/>
              <w:spacing w:before="192"/>
              <w:ind w:left="296"/>
            </w:pPr>
            <w:r>
              <w:t>3</w:t>
            </w:r>
          </w:p>
        </w:tc>
        <w:tc>
          <w:tcPr>
            <w:tcW w:w="1465" w:type="dxa"/>
            <w:vAlign w:val="top"/>
          </w:tcPr>
          <w:p w14:paraId="5F5D2A47">
            <w:pPr>
              <w:pStyle w:val="7"/>
              <w:spacing w:before="192" w:line="228" w:lineRule="auto"/>
              <w:ind w:left="113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1" w:type="dxa"/>
            <w:vAlign w:val="top"/>
          </w:tcPr>
          <w:p w14:paraId="40D6C2D4">
            <w:pPr>
              <w:pStyle w:val="7"/>
              <w:spacing w:before="192" w:line="220" w:lineRule="auto"/>
              <w:ind w:left="267"/>
            </w:pPr>
          </w:p>
        </w:tc>
        <w:tc>
          <w:tcPr>
            <w:tcW w:w="1571" w:type="dxa"/>
            <w:vAlign w:val="top"/>
          </w:tcPr>
          <w:p w14:paraId="1FC1B142">
            <w:pPr>
              <w:pStyle w:val="7"/>
              <w:spacing w:before="192" w:line="241" w:lineRule="auto"/>
              <w:ind w:left="378"/>
            </w:pPr>
          </w:p>
        </w:tc>
        <w:tc>
          <w:tcPr>
            <w:tcW w:w="1040" w:type="dxa"/>
            <w:vAlign w:val="top"/>
          </w:tcPr>
          <w:p w14:paraId="34532DEB">
            <w:pPr>
              <w:rPr>
                <w:rFonts w:ascii="Arial"/>
                <w:sz w:val="21"/>
              </w:rPr>
            </w:pPr>
          </w:p>
        </w:tc>
        <w:tc>
          <w:tcPr>
            <w:tcW w:w="1689" w:type="dxa"/>
            <w:vAlign w:val="top"/>
          </w:tcPr>
          <w:p w14:paraId="12CF9EB1">
            <w:pPr>
              <w:rPr>
                <w:rFonts w:ascii="Arial"/>
                <w:sz w:val="21"/>
              </w:rPr>
            </w:pPr>
          </w:p>
        </w:tc>
        <w:tc>
          <w:tcPr>
            <w:tcW w:w="1534" w:type="dxa"/>
            <w:vAlign w:val="top"/>
          </w:tcPr>
          <w:p w14:paraId="77AE9C81">
            <w:pPr>
              <w:rPr>
                <w:rFonts w:ascii="Arial"/>
                <w:sz w:val="21"/>
              </w:rPr>
            </w:pPr>
          </w:p>
        </w:tc>
      </w:tr>
      <w:tr w14:paraId="17F65D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4776" w:type="dxa"/>
            <w:gridSpan w:val="4"/>
            <w:vAlign w:val="top"/>
          </w:tcPr>
          <w:p w14:paraId="46E9881D">
            <w:pPr>
              <w:pStyle w:val="7"/>
              <w:spacing w:before="207" w:line="221" w:lineRule="auto"/>
              <w:ind w:left="1775"/>
            </w:pPr>
            <w:r>
              <w:rPr>
                <w:spacing w:val="-6"/>
              </w:rPr>
              <w:t>合</w:t>
            </w:r>
            <w:r>
              <w:rPr>
                <w:spacing w:val="3"/>
              </w:rPr>
              <w:t xml:space="preserve">   </w:t>
            </w:r>
            <w:r>
              <w:rPr>
                <w:spacing w:val="-6"/>
              </w:rPr>
              <w:t>计</w:t>
            </w:r>
          </w:p>
        </w:tc>
        <w:tc>
          <w:tcPr>
            <w:tcW w:w="1040" w:type="dxa"/>
            <w:vAlign w:val="top"/>
          </w:tcPr>
          <w:p w14:paraId="66D8CBEE">
            <w:pPr>
              <w:rPr>
                <w:rFonts w:ascii="Arial"/>
                <w:sz w:val="21"/>
              </w:rPr>
            </w:pPr>
          </w:p>
        </w:tc>
        <w:tc>
          <w:tcPr>
            <w:tcW w:w="1689" w:type="dxa"/>
            <w:vAlign w:val="top"/>
          </w:tcPr>
          <w:p w14:paraId="0F7AFB82">
            <w:pPr>
              <w:rPr>
                <w:rFonts w:ascii="Arial"/>
                <w:sz w:val="21"/>
              </w:rPr>
            </w:pPr>
          </w:p>
        </w:tc>
        <w:tc>
          <w:tcPr>
            <w:tcW w:w="1534" w:type="dxa"/>
            <w:vAlign w:val="top"/>
          </w:tcPr>
          <w:p w14:paraId="5AF94882">
            <w:pPr>
              <w:rPr>
                <w:rFonts w:ascii="Arial"/>
                <w:sz w:val="21"/>
              </w:rPr>
            </w:pPr>
          </w:p>
        </w:tc>
      </w:tr>
    </w:tbl>
    <w:p w14:paraId="22495A95">
      <w:pPr>
        <w:pStyle w:val="2"/>
        <w:spacing w:before="171" w:line="223" w:lineRule="auto"/>
        <w:ind w:left="234"/>
        <w:outlineLvl w:val="1"/>
      </w:pPr>
      <w:r>
        <w:rPr>
          <w:spacing w:val="-8"/>
        </w:rPr>
        <w:t>三、项目要求</w:t>
      </w:r>
    </w:p>
    <w:p w14:paraId="5647B53C">
      <w:pPr>
        <w:spacing w:line="257" w:lineRule="auto"/>
        <w:rPr>
          <w:rFonts w:ascii="Arial"/>
          <w:sz w:val="21"/>
        </w:rPr>
      </w:pPr>
    </w:p>
    <w:p w14:paraId="643E7128">
      <w:pPr>
        <w:pStyle w:val="2"/>
        <w:spacing w:before="92" w:line="221" w:lineRule="auto"/>
        <w:ind w:left="361"/>
      </w:pPr>
      <w:r>
        <w:rPr>
          <w:spacing w:val="-4"/>
        </w:rPr>
        <w:t>1.资质要求：</w:t>
      </w:r>
      <w:r>
        <w:rPr>
          <w:spacing w:val="-4"/>
          <w:u w:val="single" w:color="auto"/>
        </w:rPr>
        <w:t>营业执照应含有相关项。</w:t>
      </w:r>
    </w:p>
    <w:p w14:paraId="577B5A82">
      <w:pPr>
        <w:spacing w:line="261" w:lineRule="auto"/>
        <w:rPr>
          <w:rFonts w:ascii="Arial"/>
          <w:sz w:val="21"/>
        </w:rPr>
      </w:pPr>
    </w:p>
    <w:p w14:paraId="21ECE4C4">
      <w:pPr>
        <w:pStyle w:val="2"/>
        <w:spacing w:before="92" w:line="222" w:lineRule="auto"/>
        <w:ind w:left="343"/>
      </w:pPr>
      <w:r>
        <w:rPr>
          <w:spacing w:val="-2"/>
        </w:rPr>
        <w:t>2.业绩要求：</w:t>
      </w:r>
      <w:r>
        <w:rPr>
          <w:spacing w:val="-2"/>
          <w:u w:val="single" w:color="auto"/>
        </w:rPr>
        <w:t>相关广告宣传</w:t>
      </w:r>
      <w:r>
        <w:rPr>
          <w:rFonts w:hint="eastAsia"/>
          <w:spacing w:val="-2"/>
          <w:u w:val="single" w:color="auto"/>
          <w:lang w:val="en-US" w:eastAsia="zh-CN"/>
        </w:rPr>
        <w:t>用品的</w:t>
      </w:r>
      <w:r>
        <w:rPr>
          <w:spacing w:val="-2"/>
          <w:u w:val="single" w:color="auto"/>
        </w:rPr>
        <w:t>展示</w:t>
      </w:r>
      <w:r>
        <w:rPr>
          <w:rFonts w:hint="eastAsia"/>
          <w:spacing w:val="-2"/>
          <w:u w:val="single" w:color="auto"/>
          <w:lang w:val="en-US" w:eastAsia="zh-CN"/>
        </w:rPr>
        <w:t>宣传</w:t>
      </w:r>
      <w:bookmarkStart w:id="0" w:name="_GoBack"/>
      <w:bookmarkEnd w:id="0"/>
      <w:r>
        <w:rPr>
          <w:spacing w:val="-2"/>
          <w:u w:val="single" w:color="auto"/>
        </w:rPr>
        <w:t>等。</w:t>
      </w:r>
    </w:p>
    <w:p w14:paraId="14A67A48">
      <w:pPr>
        <w:spacing w:line="253" w:lineRule="auto"/>
        <w:rPr>
          <w:rFonts w:ascii="Arial"/>
          <w:sz w:val="21"/>
        </w:rPr>
      </w:pPr>
    </w:p>
    <w:p w14:paraId="42D5CA47">
      <w:pPr>
        <w:pStyle w:val="2"/>
        <w:spacing w:before="92" w:line="254" w:lineRule="auto"/>
        <w:ind w:left="72" w:right="558" w:firstLine="273"/>
      </w:pPr>
      <w:r>
        <w:rPr>
          <w:spacing w:val="-4"/>
        </w:rPr>
        <w:t>3.税率及价格：现行税率为含</w:t>
      </w:r>
      <w:r>
        <w:rPr>
          <w:spacing w:val="-4"/>
          <w:u w:val="single" w:color="auto"/>
        </w:rPr>
        <w:t xml:space="preserve"> 1%</w:t>
      </w:r>
      <w:r>
        <w:rPr>
          <w:spacing w:val="-4"/>
        </w:rPr>
        <w:t>增值税专用发票（或普通发票）价</w:t>
      </w:r>
      <w:r>
        <w:rPr>
          <w:spacing w:val="6"/>
        </w:rPr>
        <w:t xml:space="preserve"> </w:t>
      </w:r>
      <w:r>
        <w:rPr>
          <w:spacing w:val="-3"/>
        </w:rPr>
        <w:t>格（实际税率以国家实际规定为准）。含税价格包含到河南省三门峡</w:t>
      </w:r>
      <w:r>
        <w:rPr>
          <w:spacing w:val="16"/>
        </w:rPr>
        <w:t xml:space="preserve"> </w:t>
      </w:r>
      <w:r>
        <w:t>市城乡一体化示范区209国道南侧河南中原黄金冶炼厂有限责任公司</w:t>
      </w:r>
      <w:r>
        <w:rPr>
          <w:spacing w:val="9"/>
        </w:rPr>
        <w:t xml:space="preserve">  </w:t>
      </w:r>
      <w:r>
        <w:rPr>
          <w:spacing w:val="-3"/>
        </w:rPr>
        <w:t>内指定地点的运输、人工等费用。</w:t>
      </w:r>
    </w:p>
    <w:p w14:paraId="42FBD134">
      <w:pPr>
        <w:spacing w:line="254" w:lineRule="auto"/>
        <w:sectPr>
          <w:pgSz w:w="11906" w:h="16840"/>
          <w:pgMar w:top="1431" w:right="1243" w:bottom="0" w:left="1618" w:header="0" w:footer="0" w:gutter="0"/>
          <w:cols w:space="720" w:num="1"/>
        </w:sectPr>
      </w:pPr>
    </w:p>
    <w:p w14:paraId="14D39811">
      <w:pPr>
        <w:pStyle w:val="2"/>
        <w:spacing w:before="82" w:line="249" w:lineRule="auto"/>
        <w:ind w:left="55" w:right="11" w:hanging="26"/>
      </w:pPr>
      <w:r>
        <w:rPr>
          <w:spacing w:val="-4"/>
        </w:rPr>
        <w:t>4.质保期：该物资必须满足河南中原黄金冶炼厂有限责任公司实际工</w:t>
      </w:r>
      <w:r>
        <w:rPr>
          <w:spacing w:val="16"/>
        </w:rPr>
        <w:t xml:space="preserve"> </w:t>
      </w:r>
      <w:r>
        <w:rPr>
          <w:spacing w:val="-5"/>
        </w:rPr>
        <w:t>作要求，若因货物质量问题造成的直接或间接损失，所有退货或索赔</w:t>
      </w:r>
      <w:r>
        <w:rPr>
          <w:spacing w:val="10"/>
        </w:rPr>
        <w:t xml:space="preserve"> </w:t>
      </w:r>
      <w:r>
        <w:rPr>
          <w:spacing w:val="-3"/>
        </w:rPr>
        <w:t>引起的一切费用及损失均由送货单位承担。</w:t>
      </w:r>
    </w:p>
    <w:p w14:paraId="2EB31BBC">
      <w:pPr>
        <w:spacing w:line="260" w:lineRule="auto"/>
        <w:rPr>
          <w:rFonts w:ascii="Arial"/>
          <w:sz w:val="21"/>
        </w:rPr>
      </w:pPr>
    </w:p>
    <w:p w14:paraId="67BF928F">
      <w:pPr>
        <w:pStyle w:val="2"/>
        <w:spacing w:before="91" w:line="219" w:lineRule="auto"/>
        <w:ind w:left="43"/>
      </w:pPr>
      <w:r>
        <w:rPr>
          <w:spacing w:val="-2"/>
        </w:rPr>
        <w:t>5.付款方式：发票到后</w:t>
      </w:r>
      <w:r>
        <w:rPr>
          <w:spacing w:val="-2"/>
          <w:u w:val="single" w:color="auto"/>
        </w:rPr>
        <w:t xml:space="preserve">   1  </w:t>
      </w:r>
      <w:r>
        <w:rPr>
          <w:spacing w:val="-99"/>
        </w:rPr>
        <w:t xml:space="preserve"> </w:t>
      </w:r>
      <w:r>
        <w:rPr>
          <w:spacing w:val="-2"/>
        </w:rPr>
        <w:t>个月</w:t>
      </w:r>
      <w:r>
        <w:rPr>
          <w:spacing w:val="-3"/>
        </w:rPr>
        <w:t>内银行转账付款。</w:t>
      </w:r>
    </w:p>
    <w:p w14:paraId="7948F291">
      <w:pPr>
        <w:spacing w:line="263" w:lineRule="auto"/>
        <w:rPr>
          <w:rFonts w:ascii="Arial"/>
          <w:sz w:val="21"/>
        </w:rPr>
      </w:pPr>
    </w:p>
    <w:p w14:paraId="2491C08C">
      <w:pPr>
        <w:pStyle w:val="2"/>
        <w:spacing w:before="91" w:line="224" w:lineRule="auto"/>
        <w:ind w:left="38"/>
      </w:pPr>
      <w:r>
        <w:rPr>
          <w:spacing w:val="-5"/>
        </w:rPr>
        <w:t>6.</w:t>
      </w:r>
      <w:r>
        <w:rPr>
          <w:spacing w:val="-51"/>
        </w:rPr>
        <w:t xml:space="preserve"> </w:t>
      </w:r>
      <w:r>
        <w:rPr>
          <w:spacing w:val="-5"/>
        </w:rPr>
        <w:t>到货周期：无</w:t>
      </w:r>
    </w:p>
    <w:p w14:paraId="532F74F5">
      <w:pPr>
        <w:spacing w:line="252" w:lineRule="auto"/>
        <w:rPr>
          <w:rFonts w:ascii="Arial"/>
          <w:sz w:val="21"/>
        </w:rPr>
      </w:pPr>
    </w:p>
    <w:p w14:paraId="39F8988F">
      <w:pPr>
        <w:pStyle w:val="2"/>
        <w:spacing w:before="91" w:line="223" w:lineRule="auto"/>
        <w:ind w:left="47"/>
      </w:pPr>
      <w:r>
        <w:rPr>
          <w:spacing w:val="-5"/>
        </w:rPr>
        <w:t>7.工期：</w:t>
      </w:r>
      <w:r>
        <w:rPr>
          <w:spacing w:val="-5"/>
          <w:u w:val="single" w:color="auto"/>
        </w:rPr>
        <w:t xml:space="preserve"> 按要求完成</w:t>
      </w:r>
      <w:r>
        <w:rPr>
          <w:spacing w:val="-5"/>
        </w:rPr>
        <w:t>。</w:t>
      </w:r>
    </w:p>
    <w:p w14:paraId="28B805D9">
      <w:pPr>
        <w:spacing w:line="255" w:lineRule="auto"/>
        <w:rPr>
          <w:rFonts w:ascii="Arial"/>
          <w:sz w:val="21"/>
        </w:rPr>
      </w:pPr>
    </w:p>
    <w:p w14:paraId="5CCBA252">
      <w:pPr>
        <w:pStyle w:val="2"/>
        <w:spacing w:before="91" w:line="220" w:lineRule="auto"/>
        <w:ind w:left="34"/>
      </w:pPr>
      <w:r>
        <w:t>8.谈判当天未在规定时间内按要求发送报价的，视为弃权。</w:t>
      </w:r>
    </w:p>
    <w:sectPr>
      <w:pgSz w:w="11906" w:h="16840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505744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565</Words>
  <Characters>593</Characters>
  <TotalTime>18</TotalTime>
  <ScaleCrop>false</ScaleCrop>
  <LinksUpToDate>false</LinksUpToDate>
  <CharactersWithSpaces>629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2025-01-06T15:36:00Z</dcterms:created>
  <dc:creator>Administrator</dc:creator>
  <cp:lastModifiedBy>孙泽军</cp:lastModifiedBy>
  <dcterms:modified xsi:type="dcterms:W3CDTF">2025-07-31T06:46:23Z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2025-07-31T14:27:44Z</vt:filetime>
  </property>
  <property fmtid="{D5CDD505-2E9C-101B-9397-08002B2CF9AE}" pid="4" name="KSOTemplateDocerSaveRecord">
    <vt:lpwstr>eyJoZGlkIjoiYmMwNTM1YWY4NjI2MjMzODg4MGE4ZmNhOGE5YWFlMjUiLCJ1c2VySWQiOiI0MDU4MTg1MTgifQ==</vt:lpwstr>
  </property>
  <property fmtid="{D5CDD505-2E9C-101B-9397-08002B2CF9AE}" pid="5" name="KSOProductBuildVer">
    <vt:lpwstr>2052-12.1.0.21915</vt:lpwstr>
  </property>
  <property fmtid="{D5CDD505-2E9C-101B-9397-08002B2CF9AE}" pid="6" name="ICV">
    <vt:lpwstr>5FE720CB2C2D4C5AB8D581EFDCD2BCC0_13</vt:lpwstr>
  </property>
</Properties>
</file>